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627ABC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А.А. Ткач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C01D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4272B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427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64272B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7F5">
              <w:rPr>
                <w:rFonts w:ascii="Times New Roman" w:hAnsi="Times New Roman"/>
                <w:sz w:val="24"/>
                <w:szCs w:val="24"/>
              </w:rPr>
              <w:t>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9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272B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42587E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87E">
              <w:rPr>
                <w:rFonts w:ascii="Times New Roman" w:hAnsi="Times New Roman"/>
                <w:sz w:val="24"/>
                <w:szCs w:val="24"/>
              </w:rPr>
              <w:t>25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87E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42587E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87E">
              <w:rPr>
                <w:rFonts w:ascii="Times New Roman" w:hAnsi="Times New Roman"/>
                <w:sz w:val="24"/>
                <w:szCs w:val="24"/>
              </w:rPr>
              <w:t>26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87E">
              <w:rPr>
                <w:rFonts w:ascii="Times New Roman" w:hAnsi="Times New Roman"/>
                <w:sz w:val="24"/>
                <w:szCs w:val="24"/>
              </w:rPr>
              <w:t>мая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42587E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87E">
              <w:rPr>
                <w:rFonts w:ascii="Times New Roman" w:hAnsi="Times New Roman"/>
                <w:sz w:val="24"/>
                <w:szCs w:val="24"/>
              </w:rPr>
              <w:t>28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87E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CB4B29">
        <w:rPr>
          <w:sz w:val="27"/>
          <w:szCs w:val="27"/>
          <w:lang w:val="ru-RU" w:eastAsia="ru-RU"/>
        </w:rPr>
        <w:t>5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CB4B29">
        <w:rPr>
          <w:sz w:val="27"/>
          <w:szCs w:val="27"/>
          <w:lang w:val="ru-RU" w:eastAsia="ru-RU"/>
        </w:rPr>
        <w:t>0</w:t>
      </w:r>
      <w:r w:rsidRPr="00084FAB">
        <w:rPr>
          <w:sz w:val="27"/>
          <w:szCs w:val="27"/>
          <w:lang w:eastAsia="ru-RU"/>
        </w:rPr>
        <w:t>.11.202</w:t>
      </w:r>
      <w:r w:rsidR="00CB4B29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№</w:t>
      </w:r>
      <w:r w:rsidR="00CB4B29">
        <w:rPr>
          <w:sz w:val="27"/>
          <w:szCs w:val="27"/>
          <w:lang w:val="ru-RU" w:eastAsia="ru-RU"/>
        </w:rPr>
        <w:t>147</w:t>
      </w:r>
      <w:r w:rsidRPr="00084FAB">
        <w:rPr>
          <w:sz w:val="27"/>
          <w:szCs w:val="27"/>
          <w:lang w:eastAsia="ru-RU"/>
        </w:rPr>
        <w:t>;</w:t>
      </w:r>
    </w:p>
    <w:p w:rsidR="00627ABC" w:rsidRPr="00627AB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CB4B29">
        <w:rPr>
          <w:sz w:val="27"/>
          <w:szCs w:val="27"/>
          <w:lang w:val="ru-RU" w:eastAsia="ru-RU"/>
        </w:rPr>
        <w:t>я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CB4B29">
        <w:rPr>
          <w:sz w:val="27"/>
          <w:szCs w:val="27"/>
          <w:lang w:val="ru-RU" w:eastAsia="ru-RU"/>
        </w:rPr>
        <w:t>23</w:t>
      </w:r>
      <w:r w:rsidR="00217F01">
        <w:rPr>
          <w:sz w:val="27"/>
          <w:szCs w:val="27"/>
          <w:lang w:val="ru-RU" w:eastAsia="ru-RU"/>
        </w:rPr>
        <w:t>.0</w:t>
      </w:r>
      <w:r w:rsidR="00CB4B29">
        <w:rPr>
          <w:sz w:val="27"/>
          <w:szCs w:val="27"/>
          <w:lang w:val="ru-RU" w:eastAsia="ru-RU"/>
        </w:rPr>
        <w:t>4</w:t>
      </w:r>
      <w:r w:rsidR="00217F01">
        <w:rPr>
          <w:sz w:val="27"/>
          <w:szCs w:val="27"/>
          <w:lang w:val="ru-RU" w:eastAsia="ru-RU"/>
        </w:rPr>
        <w:t>.202</w:t>
      </w:r>
      <w:r w:rsidR="00CB4B29">
        <w:rPr>
          <w:sz w:val="27"/>
          <w:szCs w:val="27"/>
          <w:lang w:val="ru-RU" w:eastAsia="ru-RU"/>
        </w:rPr>
        <w:t>5</w:t>
      </w:r>
      <w:r w:rsidRPr="00084FAB">
        <w:rPr>
          <w:sz w:val="27"/>
          <w:szCs w:val="27"/>
          <w:lang w:eastAsia="ru-RU"/>
        </w:rPr>
        <w:t xml:space="preserve"> №</w:t>
      </w:r>
      <w:r w:rsidR="00CB4B29">
        <w:rPr>
          <w:sz w:val="27"/>
          <w:szCs w:val="27"/>
          <w:lang w:val="ru-RU" w:eastAsia="ru-RU"/>
        </w:rPr>
        <w:t>549, №550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 w:rsidR="00627ABC"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29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апреля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25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мая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26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мая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8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мая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2961" w:rsidRPr="00084FAB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EB2961" w:rsidRPr="00EB2961" w:rsidRDefault="00EB2961" w:rsidP="00EB29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EB296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  <w:tab w:val="left" w:pos="1276"/>
        </w:tabs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Здание поликлиники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ул.Кирова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д.10, кадастровый номер 29:23:010207:164, общая площадь 1641,3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количество этажей 3, в том числе подземных 0, год постройки 1966.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29:23:010207:164-29/009/2018-1 от 14.03.2018, ограничение прав и обременение: не зарегистрировано.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Земельный участок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29:23:010207:66, адрес: Архангельская область, город Коряжма,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использования здания поликлиники.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29:23:010207:66-29/009/2018-2 от 12.03.2018.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Обременения (ограничения), подлежащие включению в договор купли-продажи Объекта (земельного участка):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</w:t>
      </w:r>
      <w:r w:rsidRPr="00571D5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публичный сервитут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Управления Федерального Агентства кадастра объектов недвижимости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Архангельской области. </w:t>
      </w:r>
    </w:p>
    <w:p w:rsidR="00EB2961" w:rsidRDefault="00EB2961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997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Пятнадцать миллионов девятьсот девяносто семь тысяч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2 325 000,00 рублей)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950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Тринадцать миллионов девятьсот пятьдесят тысяч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BE7D0E" w:rsidRPr="005D3B89" w:rsidRDefault="00BE7D0E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2 0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47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Два миллиона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 семь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7 998 500</w:t>
      </w:r>
      <w:r w:rsidR="00BE7D0E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 миллионов девятьсот девяносто восемь тысяч пятьсот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6 975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 миллионов девятьсот семьдесят пять тысяч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том числе НДС;</w:t>
      </w:r>
    </w:p>
    <w:p w:rsidR="00BE7D0E" w:rsidRPr="005D3B89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1 0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дв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адцать три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пятьсот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599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Один миллион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пятьсот девяносто девять т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ысяч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семьсот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799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850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Семьсот девяносто девять тысяч восемьсот пятьдесят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599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пятьсот девяносто девять тысяч семьсот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86363B" w:rsidRDefault="005D3B89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="0086363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627ABC" w:rsidRDefault="0086363B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.2024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состоялся ввиду отсутствия заявок на участие в нем</w:t>
      </w:r>
      <w:r w:rsidR="00627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627ABC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  <w:r w:rsidR="00B76D8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07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 w:rsid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03.06.2024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 w:rsid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08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19.07.2024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09.09.2024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28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аукцион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 w:rsidR="00FB16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bookmarkStart w:id="0" w:name="_GoBack"/>
      <w:bookmarkEnd w:id="0"/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14E0D" w:rsidRDefault="00214E0D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30BAA" w:rsidRDefault="00175123" w:rsidP="0017512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</w:p>
    <w:p w:rsidR="00430BAA" w:rsidRPr="00BB1310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Помещение, 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расположенное по адресу: Архангельская область,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ул.Низовка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д.29, кв.2, кадастровый номер 29:23:010301:180, общая площадь 40,5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этаж 1, год постройки 1955. </w:t>
      </w:r>
    </w:p>
    <w:p w:rsidR="00430BAA" w:rsidRPr="00BB1310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муниципального образования «Город Коряжма» подтверждается выпиской из ЕГРН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08.09.2024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номер государственной регистрации права 29-29/009-29/009/027/2016-101/1 от 25.10.2016, ограничение прав и обременение: не зарегистрировано.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80 400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четыреста)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40 200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двести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Pr="005D3B89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8 040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430BAA" w:rsidRPr="005D3B89" w:rsidRDefault="00430BAA" w:rsidP="00430BA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P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4 020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двадцать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8 040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осемь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D13ABA" w:rsidRPr="00D13ABA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27.05.2024 и объявленный на площадке 26.04.2024 не состоялся ввиду отсутствия заявок на участие в нем;</w:t>
      </w:r>
    </w:p>
    <w:p w:rsidR="00D13ABA" w:rsidRPr="00D13ABA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06.09.2024 и объявленные на площадке 07.08.2024 не состоялись ввиду отсутствия заявок на участие в них;</w:t>
      </w:r>
    </w:p>
    <w:p w:rsidR="00D13ABA" w:rsidRPr="00D13ABA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16.10.2024 и объявленные на площадке 09.09.2024 не состоялись ввиду отсутствия заявок на участие в них;</w:t>
      </w:r>
    </w:p>
    <w:p w:rsidR="00D13ABA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28.02.2025 и объявленный на площадке 27.01.2025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175123" w:rsidRPr="00084FAB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.2025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.2025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175123"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Исправления, внесенные при необходимости, должны быть заверены подписью должностного лица и проставлением печати юридического лица, их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C1BB0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7075DA" w:rsidRPr="00084FAB" w:rsidRDefault="005C1BB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4 (проект договора купли-продажи)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D64" w:rsidRDefault="00436D64">
      <w:pPr>
        <w:spacing w:after="0" w:line="240" w:lineRule="auto"/>
      </w:pPr>
      <w:r>
        <w:separator/>
      </w:r>
    </w:p>
  </w:endnote>
  <w:endnote w:type="continuationSeparator" w:id="0">
    <w:p w:rsidR="00436D64" w:rsidRDefault="0043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D64" w:rsidRDefault="00436D64">
      <w:pPr>
        <w:spacing w:after="0" w:line="240" w:lineRule="auto"/>
      </w:pPr>
      <w:r>
        <w:separator/>
      </w:r>
    </w:p>
  </w:footnote>
  <w:footnote w:type="continuationSeparator" w:id="0">
    <w:p w:rsidR="00436D64" w:rsidRDefault="0043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1660">
      <w:rPr>
        <w:noProof/>
      </w:rPr>
      <w:t>5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15E5"/>
    <w:rsid w:val="00004BB5"/>
    <w:rsid w:val="00013FE5"/>
    <w:rsid w:val="00017336"/>
    <w:rsid w:val="00033592"/>
    <w:rsid w:val="00033C46"/>
    <w:rsid w:val="000348CC"/>
    <w:rsid w:val="000379AE"/>
    <w:rsid w:val="00043580"/>
    <w:rsid w:val="0005100A"/>
    <w:rsid w:val="000622B4"/>
    <w:rsid w:val="00084FAB"/>
    <w:rsid w:val="00090BAB"/>
    <w:rsid w:val="00097FAA"/>
    <w:rsid w:val="000B0A55"/>
    <w:rsid w:val="000B4B5A"/>
    <w:rsid w:val="000B508A"/>
    <w:rsid w:val="000C56FA"/>
    <w:rsid w:val="000D6CBF"/>
    <w:rsid w:val="000E38C3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75123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E443F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059B"/>
    <w:rsid w:val="00247AE9"/>
    <w:rsid w:val="00282CCE"/>
    <w:rsid w:val="00286B5F"/>
    <w:rsid w:val="00290246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2587E"/>
    <w:rsid w:val="00430BAA"/>
    <w:rsid w:val="00432869"/>
    <w:rsid w:val="00436D64"/>
    <w:rsid w:val="004438D9"/>
    <w:rsid w:val="00444C90"/>
    <w:rsid w:val="00445215"/>
    <w:rsid w:val="00451F47"/>
    <w:rsid w:val="00461E76"/>
    <w:rsid w:val="0047277B"/>
    <w:rsid w:val="0047748D"/>
    <w:rsid w:val="004A32C3"/>
    <w:rsid w:val="004A4C03"/>
    <w:rsid w:val="004B007B"/>
    <w:rsid w:val="004B0688"/>
    <w:rsid w:val="004C15F8"/>
    <w:rsid w:val="004C2646"/>
    <w:rsid w:val="004C2C64"/>
    <w:rsid w:val="004D793D"/>
    <w:rsid w:val="004E1225"/>
    <w:rsid w:val="00507A04"/>
    <w:rsid w:val="00524889"/>
    <w:rsid w:val="00526D53"/>
    <w:rsid w:val="005335E7"/>
    <w:rsid w:val="00542FC2"/>
    <w:rsid w:val="00550D60"/>
    <w:rsid w:val="005532BF"/>
    <w:rsid w:val="00560330"/>
    <w:rsid w:val="00571D51"/>
    <w:rsid w:val="00572DE1"/>
    <w:rsid w:val="00577B25"/>
    <w:rsid w:val="005843E4"/>
    <w:rsid w:val="0058454B"/>
    <w:rsid w:val="0059188C"/>
    <w:rsid w:val="005A666B"/>
    <w:rsid w:val="005C1BB0"/>
    <w:rsid w:val="005C3230"/>
    <w:rsid w:val="005D3B89"/>
    <w:rsid w:val="005D5256"/>
    <w:rsid w:val="005F3E60"/>
    <w:rsid w:val="00600482"/>
    <w:rsid w:val="00604384"/>
    <w:rsid w:val="00607EE3"/>
    <w:rsid w:val="00617F6B"/>
    <w:rsid w:val="00627ABC"/>
    <w:rsid w:val="00632786"/>
    <w:rsid w:val="00641594"/>
    <w:rsid w:val="0064272B"/>
    <w:rsid w:val="006442C5"/>
    <w:rsid w:val="006516A5"/>
    <w:rsid w:val="00663804"/>
    <w:rsid w:val="006764A3"/>
    <w:rsid w:val="0068543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50B6"/>
    <w:rsid w:val="0086363B"/>
    <w:rsid w:val="008B6B16"/>
    <w:rsid w:val="008D0B74"/>
    <w:rsid w:val="008D1758"/>
    <w:rsid w:val="008D6E01"/>
    <w:rsid w:val="008F48E3"/>
    <w:rsid w:val="00902145"/>
    <w:rsid w:val="009105F5"/>
    <w:rsid w:val="009340BB"/>
    <w:rsid w:val="00955A61"/>
    <w:rsid w:val="00961A27"/>
    <w:rsid w:val="00965F2C"/>
    <w:rsid w:val="009C22D7"/>
    <w:rsid w:val="009C54AF"/>
    <w:rsid w:val="009D2302"/>
    <w:rsid w:val="009E1CAB"/>
    <w:rsid w:val="009E4510"/>
    <w:rsid w:val="009F76DD"/>
    <w:rsid w:val="00A154DD"/>
    <w:rsid w:val="00A17AC6"/>
    <w:rsid w:val="00A204D3"/>
    <w:rsid w:val="00A213C3"/>
    <w:rsid w:val="00A37E1C"/>
    <w:rsid w:val="00A514D8"/>
    <w:rsid w:val="00A5217C"/>
    <w:rsid w:val="00A6318C"/>
    <w:rsid w:val="00A8482A"/>
    <w:rsid w:val="00A85733"/>
    <w:rsid w:val="00A87A84"/>
    <w:rsid w:val="00AA508B"/>
    <w:rsid w:val="00AA5832"/>
    <w:rsid w:val="00AE77F5"/>
    <w:rsid w:val="00AF0780"/>
    <w:rsid w:val="00AF140A"/>
    <w:rsid w:val="00AF33BE"/>
    <w:rsid w:val="00B00DF4"/>
    <w:rsid w:val="00B025CD"/>
    <w:rsid w:val="00B07A13"/>
    <w:rsid w:val="00B3631D"/>
    <w:rsid w:val="00B366BC"/>
    <w:rsid w:val="00B4766E"/>
    <w:rsid w:val="00B53526"/>
    <w:rsid w:val="00B6376F"/>
    <w:rsid w:val="00B76D82"/>
    <w:rsid w:val="00B90B33"/>
    <w:rsid w:val="00BA5DCE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044"/>
    <w:rsid w:val="00C94650"/>
    <w:rsid w:val="00CB4B29"/>
    <w:rsid w:val="00CC3445"/>
    <w:rsid w:val="00CC41FC"/>
    <w:rsid w:val="00CC44AE"/>
    <w:rsid w:val="00CC4A7B"/>
    <w:rsid w:val="00CE6AD2"/>
    <w:rsid w:val="00CF63FB"/>
    <w:rsid w:val="00CF7286"/>
    <w:rsid w:val="00D05A4B"/>
    <w:rsid w:val="00D13ABA"/>
    <w:rsid w:val="00D200BF"/>
    <w:rsid w:val="00D22B1D"/>
    <w:rsid w:val="00D235BC"/>
    <w:rsid w:val="00D5294A"/>
    <w:rsid w:val="00D565EE"/>
    <w:rsid w:val="00D56BB2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A6D14"/>
    <w:rsid w:val="00FB1660"/>
    <w:rsid w:val="00FB7169"/>
    <w:rsid w:val="00FC01AD"/>
    <w:rsid w:val="00FC01D4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23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23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E815F-D087-494B-9E6E-DC1B41D6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14</Pages>
  <Words>5221</Words>
  <Characters>29760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67</cp:revision>
  <cp:lastPrinted>2024-07-18T11:00:00Z</cp:lastPrinted>
  <dcterms:created xsi:type="dcterms:W3CDTF">2022-07-27T11:47:00Z</dcterms:created>
  <dcterms:modified xsi:type="dcterms:W3CDTF">2025-04-28T13:10:00Z</dcterms:modified>
</cp:coreProperties>
</file>