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E62498">
            <w:pPr>
              <w:jc w:val="cente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1AD0A863"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w:t>
      </w:r>
      <w:r w:rsidRPr="003E0EA7">
        <w:rPr>
          <w:sz w:val="28"/>
          <w:szCs w:val="28"/>
        </w:rPr>
        <w:lastRenderedPageBreak/>
        <w:t>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lastRenderedPageBreak/>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lastRenderedPageBreak/>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w:t>
      </w:r>
      <w:r>
        <w:rPr>
          <w:b/>
          <w:sz w:val="28"/>
          <w:szCs w:val="28"/>
        </w:rPr>
        <w:lastRenderedPageBreak/>
        <w:t>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
    <w:p w14:paraId="7117FA00" w14:textId="03CAD673" w:rsidR="00F22DC6" w:rsidRPr="00F22DC6" w:rsidRDefault="00F22DC6" w:rsidP="00F22DC6">
      <w:pPr>
        <w:tabs>
          <w:tab w:val="left" w:pos="851"/>
          <w:tab w:val="left" w:pos="993"/>
        </w:tabs>
        <w:jc w:val="both"/>
        <w:rPr>
          <w:i/>
          <w:iCs/>
          <w:color w:val="FF0000"/>
          <w:sz w:val="24"/>
          <w:szCs w:val="24"/>
        </w:rPr>
      </w:pPr>
      <w:r w:rsidRPr="00F22DC6">
        <w:rPr>
          <w:i/>
          <w:iCs/>
          <w:color w:val="FF0000"/>
          <w:sz w:val="24"/>
          <w:szCs w:val="24"/>
        </w:rPr>
        <w:t>(в редакции распоряжения финансового управления от 18.02.2025 № 03/27р)</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w:t>
      </w:r>
      <w:r>
        <w:rPr>
          <w:i/>
          <w:sz w:val="28"/>
          <w:szCs w:val="28"/>
        </w:rPr>
        <w:lastRenderedPageBreak/>
        <w:t xml:space="preserve">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w:t>
      </w:r>
      <w:r w:rsidRPr="001C55B1">
        <w:rPr>
          <w:sz w:val="28"/>
          <w:szCs w:val="28"/>
        </w:rPr>
        <w:lastRenderedPageBreak/>
        <w:t>«Город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w:t>
      </w:r>
      <w:r>
        <w:rPr>
          <w:b/>
          <w:sz w:val="28"/>
          <w:szCs w:val="28"/>
        </w:rPr>
        <w:lastRenderedPageBreak/>
        <w:t xml:space="preserve">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9D5E6B">
        <w:rPr>
          <w:sz w:val="28"/>
          <w:szCs w:val="28"/>
        </w:rPr>
        <w:lastRenderedPageBreak/>
        <w:t>«Комфортное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lastRenderedPageBreak/>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w:t>
      </w:r>
      <w:r w:rsidRPr="009D5E6B">
        <w:rPr>
          <w:sz w:val="28"/>
          <w:szCs w:val="28"/>
        </w:rPr>
        <w:lastRenderedPageBreak/>
        <w:t>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(«Чистая улица» на территории пр. им. М.В. Ломоносова).</w:t>
      </w:r>
    </w:p>
    <w:p w14:paraId="4022FB38" w14:textId="77777777" w:rsidR="009D5E6B" w:rsidRPr="00B82E81" w:rsidRDefault="009D5E6B" w:rsidP="009D5E6B">
      <w:pPr>
        <w:tabs>
          <w:tab w:val="left" w:pos="851"/>
        </w:tabs>
        <w:spacing w:before="120"/>
        <w:ind w:firstLine="709"/>
        <w:jc w:val="both"/>
        <w:rPr>
          <w:sz w:val="27"/>
          <w:szCs w:val="27"/>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(«Чистая улица» на территории пр. им. М.В. Ломоносова).</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w:t>
      </w:r>
      <w:r>
        <w:rPr>
          <w:sz w:val="28"/>
          <w:szCs w:val="28"/>
        </w:rPr>
        <w:lastRenderedPageBreak/>
        <w:t xml:space="preserve">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lastRenderedPageBreak/>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обеспечение деятельности городской Думы городского округа Архангельской </w:t>
      </w:r>
      <w:r>
        <w:rPr>
          <w:sz w:val="28"/>
          <w:szCs w:val="28"/>
        </w:rPr>
        <w:lastRenderedPageBreak/>
        <w:t>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непрограммного направления расходов бюджета </w:t>
      </w:r>
      <w:r>
        <w:rPr>
          <w:sz w:val="28"/>
          <w:szCs w:val="28"/>
        </w:rPr>
        <w:lastRenderedPageBreak/>
        <w:t>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непрограммные расходы в области социальной политики, не учтенные </w:t>
      </w:r>
      <w:r>
        <w:rPr>
          <w:sz w:val="28"/>
          <w:szCs w:val="28"/>
        </w:rPr>
        <w:lastRenderedPageBreak/>
        <w:t>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8079</Words>
  <Characters>60295</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68238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4</cp:revision>
  <cp:lastPrinted>2024-10-24T12:54:00Z</cp:lastPrinted>
  <dcterms:created xsi:type="dcterms:W3CDTF">2025-02-20T05:37:00Z</dcterms:created>
  <dcterms:modified xsi:type="dcterms:W3CDTF">2025-02-20T14:01:00Z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