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D40CBC">
            <w:pPr>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5996CB65"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sidR="00671BF8">
        <w:rPr>
          <w:color w:val="FF0000"/>
          <w:sz w:val="28"/>
          <w:szCs w:val="28"/>
        </w:rPr>
        <w:t>, от 18.02.2025 № 03/27р</w:t>
      </w:r>
      <w:r w:rsidR="009D5E6B">
        <w:rPr>
          <w:color w:val="FF0000"/>
          <w:sz w:val="28"/>
          <w:szCs w:val="28"/>
        </w:rPr>
        <w:t>, от 19.02.2025 № 03/29р</w:t>
      </w:r>
      <w:r w:rsidR="00AA7436">
        <w:rPr>
          <w:color w:val="FF0000"/>
          <w:sz w:val="28"/>
          <w:szCs w:val="28"/>
        </w:rPr>
        <w:t>, от 25.02.2025 № 03/39р</w:t>
      </w:r>
      <w:r w:rsidR="00D40CBC">
        <w:rPr>
          <w:color w:val="FF0000"/>
          <w:sz w:val="28"/>
          <w:szCs w:val="28"/>
        </w:rPr>
        <w:t>, от 26.03.2025 № 03/52р</w:t>
      </w:r>
      <w:r w:rsidR="00F114BB">
        <w:rPr>
          <w:color w:val="FF0000"/>
          <w:sz w:val="28"/>
          <w:szCs w:val="28"/>
        </w:rPr>
        <w:t>, от 31.03.2025 №</w:t>
      </w:r>
      <w:r w:rsidR="00D70561">
        <w:rPr>
          <w:color w:val="FF0000"/>
          <w:sz w:val="28"/>
          <w:szCs w:val="28"/>
        </w:rPr>
        <w:t xml:space="preserve"> </w:t>
      </w:r>
      <w:r w:rsidR="00F114BB">
        <w:rPr>
          <w:color w:val="FF0000"/>
          <w:sz w:val="28"/>
          <w:szCs w:val="28"/>
        </w:rPr>
        <w:t>02/53р</w:t>
      </w:r>
      <w:r w:rsidR="00D95C04">
        <w:rPr>
          <w:color w:val="FF0000"/>
          <w:sz w:val="28"/>
          <w:szCs w:val="28"/>
        </w:rPr>
        <w:t>, от 03.04.2025 №</w:t>
      </w:r>
      <w:r w:rsidR="00D70561">
        <w:rPr>
          <w:color w:val="FF0000"/>
          <w:sz w:val="28"/>
          <w:szCs w:val="28"/>
        </w:rPr>
        <w:t xml:space="preserve"> </w:t>
      </w:r>
      <w:r w:rsidR="00D95C04">
        <w:rPr>
          <w:color w:val="FF0000"/>
          <w:sz w:val="28"/>
          <w:szCs w:val="28"/>
        </w:rPr>
        <w:t>03/55р</w:t>
      </w:r>
      <w:r w:rsidR="00D70561">
        <w:rPr>
          <w:color w:val="FF0000"/>
          <w:sz w:val="28"/>
          <w:szCs w:val="28"/>
        </w:rPr>
        <w:t>, от 09.04.2025 № 03/61р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lastRenderedPageBreak/>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w:t>
      </w:r>
      <w:r w:rsidR="00B40E6C"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40E91C4D"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03B54F89" w14:textId="77777777" w:rsidR="0081702B" w:rsidRDefault="0081702B" w:rsidP="0081702B">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13810F3B" w14:textId="23414AD3" w:rsidR="0081702B" w:rsidRDefault="0081702B" w:rsidP="0081702B">
      <w:pPr>
        <w:widowControl/>
        <w:adjustRightInd w:val="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r w:rsidRPr="0081702B">
        <w:rPr>
          <w:sz w:val="28"/>
          <w:szCs w:val="28"/>
        </w:rPr>
        <w:t>в целях софинансирования которых из областного бюджета предоставляются субсидии, не софинансируемые из федерального бюджета.</w:t>
      </w:r>
      <w:r>
        <w:rPr>
          <w:sz w:val="28"/>
          <w:szCs w:val="28"/>
        </w:rPr>
        <w:t xml:space="preserve"> </w:t>
      </w:r>
    </w:p>
    <w:p w14:paraId="49EF7DAE" w14:textId="593217D5" w:rsidR="0081702B" w:rsidRDefault="0081702B" w:rsidP="0081702B">
      <w:pPr>
        <w:tabs>
          <w:tab w:val="left" w:pos="851"/>
          <w:tab w:val="left" w:pos="993"/>
        </w:tabs>
        <w:spacing w:before="120"/>
        <w:ind w:firstLine="709"/>
        <w:jc w:val="both"/>
        <w:rPr>
          <w:sz w:val="28"/>
          <w:szCs w:val="28"/>
        </w:rPr>
      </w:pP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w:t>
      </w:r>
      <w:r w:rsidR="00E94B39">
        <w:rPr>
          <w:sz w:val="28"/>
          <w:szCs w:val="28"/>
        </w:rPr>
        <w:lastRenderedPageBreak/>
        <w:t xml:space="preserve">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w:t>
      </w:r>
      <w:r>
        <w:rPr>
          <w:b/>
          <w:sz w:val="28"/>
          <w:szCs w:val="28"/>
        </w:rPr>
        <w:lastRenderedPageBreak/>
        <w:t xml:space="preserve">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 xml:space="preserve">80550 Мероприятия в сфере социальной политики, осуществляемые </w:t>
      </w:r>
      <w:r>
        <w:rPr>
          <w:sz w:val="28"/>
          <w:szCs w:val="28"/>
        </w:rPr>
        <w:lastRenderedPageBreak/>
        <w:t>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bookmarkStart w:id="6" w:name="_Hlk190769398"/>
      <w:r>
        <w:rPr>
          <w:sz w:val="28"/>
          <w:szCs w:val="28"/>
        </w:rPr>
        <w:t xml:space="preserve">2.14 </w:t>
      </w:r>
      <w:r>
        <w:rPr>
          <w:b/>
          <w:sz w:val="28"/>
          <w:szCs w:val="28"/>
        </w:rPr>
        <w:t xml:space="preserve">Муниципальная программа «Обеспечение жильем молодых семей» </w:t>
      </w:r>
    </w:p>
    <w:bookmarkEnd w:id="6"/>
    <w:p w14:paraId="5E56CA93" w14:textId="77777777" w:rsidR="00F22DC6" w:rsidRDefault="00F22DC6" w:rsidP="00F22DC6">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42A64D6F" w14:textId="77777777" w:rsidR="00F22DC6" w:rsidRDefault="00F22DC6" w:rsidP="00F22DC6">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0F5619C" w14:textId="77777777" w:rsidR="00F22DC6" w:rsidRDefault="00F22DC6" w:rsidP="00F22DC6">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60AE5FAF" w14:textId="77777777" w:rsidR="00F22DC6" w:rsidRDefault="00F22DC6" w:rsidP="00F22DC6">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lang w:val="en-US"/>
        </w:rPr>
        <w:t>L</w:t>
      </w:r>
      <w:r>
        <w:rPr>
          <w:color w:val="000000" w:themeColor="text1"/>
          <w:sz w:val="28"/>
          <w:szCs w:val="28"/>
        </w:rPr>
        <w:t xml:space="preserve">4971 </w:t>
      </w:r>
      <w:r w:rsidRPr="00A76739">
        <w:rPr>
          <w:color w:val="000000" w:themeColor="text1"/>
          <w:sz w:val="28"/>
          <w:szCs w:val="28"/>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r>
        <w:rPr>
          <w:color w:val="000000" w:themeColor="text1"/>
          <w:sz w:val="28"/>
          <w:szCs w:val="28"/>
        </w:rPr>
        <w:t>.</w:t>
      </w:r>
      <w:r>
        <w:rPr>
          <w:color w:val="000000" w:themeColor="text1"/>
          <w:sz w:val="28"/>
          <w:szCs w:val="28"/>
        </w:rPr>
        <w:tab/>
      </w:r>
    </w:p>
    <w:p w14:paraId="71289140" w14:textId="646E2896" w:rsidR="00BF7D0A" w:rsidRDefault="00F22DC6" w:rsidP="00F22DC6">
      <w:pPr>
        <w:tabs>
          <w:tab w:val="left" w:pos="851"/>
          <w:tab w:val="left" w:pos="993"/>
        </w:tabs>
        <w:ind w:firstLine="709"/>
        <w:jc w:val="both"/>
        <w:rPr>
          <w:sz w:val="28"/>
          <w:szCs w:val="28"/>
        </w:rPr>
      </w:pPr>
      <w:r w:rsidRPr="00A76739">
        <w:rPr>
          <w:sz w:val="28"/>
          <w:szCs w:val="28"/>
        </w:rPr>
        <w:t xml:space="preserve">По данному направлению расходов отражаются расходы местного бюджета, связанные с реализацией мероприятий по обеспечению жильем </w:t>
      </w:r>
      <w:r w:rsidRPr="00A76739">
        <w:rPr>
          <w:sz w:val="28"/>
          <w:szCs w:val="28"/>
        </w:rPr>
        <w:lastRenderedPageBreak/>
        <w:t>молодых семей, в целях софинансирования которых предоставляются субсидии из федерального и областного бюджетов.</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bookmarkStart w:id="7" w:name="_Hlk190769434"/>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bookmarkEnd w:id="7"/>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F86E00"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09EF7C31" w14:textId="245BC7A4" w:rsidR="00D70561" w:rsidRPr="00D70561" w:rsidRDefault="00D70561" w:rsidP="00D70561">
      <w:pPr>
        <w:tabs>
          <w:tab w:val="left" w:pos="709"/>
          <w:tab w:val="left" w:pos="993"/>
        </w:tabs>
        <w:spacing w:before="120"/>
        <w:ind w:firstLine="709"/>
        <w:jc w:val="both"/>
        <w:rPr>
          <w:color w:val="000000" w:themeColor="text1"/>
          <w:sz w:val="28"/>
          <w:szCs w:val="28"/>
        </w:rPr>
      </w:pPr>
      <w:r w:rsidRPr="00D70561">
        <w:rPr>
          <w:color w:val="000000" w:themeColor="text1"/>
          <w:sz w:val="28"/>
          <w:szCs w:val="28"/>
        </w:rPr>
        <w:t>– 82401 Субсидии на возмещение затрат по содержанию объектов дренажно-ливневой канализации</w:t>
      </w:r>
    </w:p>
    <w:p w14:paraId="10A0F54E" w14:textId="73F54BA0" w:rsidR="00D70561" w:rsidRDefault="00D70561" w:rsidP="00D70561">
      <w:pPr>
        <w:tabs>
          <w:tab w:val="left" w:pos="709"/>
          <w:tab w:val="left" w:pos="993"/>
        </w:tabs>
        <w:spacing w:before="120"/>
        <w:ind w:firstLine="709"/>
        <w:jc w:val="both"/>
        <w:rPr>
          <w:color w:val="000000" w:themeColor="text1"/>
          <w:sz w:val="28"/>
          <w:szCs w:val="28"/>
        </w:rPr>
      </w:pPr>
      <w:r w:rsidRPr="00D70561">
        <w:rPr>
          <w:color w:val="000000" w:themeColor="text1"/>
          <w:sz w:val="28"/>
          <w:szCs w:val="28"/>
        </w:rPr>
        <w:t xml:space="preserve">По данному направлению расходов отражаются расходы местного бюджета на возмещение затрат по содержанию объектов дренажно-ливневой </w:t>
      </w:r>
      <w:r w:rsidRPr="00D70561">
        <w:rPr>
          <w:color w:val="000000" w:themeColor="text1"/>
          <w:sz w:val="28"/>
          <w:szCs w:val="28"/>
        </w:rPr>
        <w:lastRenderedPageBreak/>
        <w:t>канализации.</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lastRenderedPageBreak/>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123203D6" w14:textId="1F863F31" w:rsidR="00D95C04" w:rsidRPr="00D95C04" w:rsidRDefault="00CB0AA1" w:rsidP="00D95C04">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14624761" w14:textId="3B331289" w:rsidR="00D95C04" w:rsidRPr="00D95C04" w:rsidRDefault="00D95C04" w:rsidP="00D95C04">
      <w:pPr>
        <w:tabs>
          <w:tab w:val="left" w:pos="851"/>
          <w:tab w:val="left" w:pos="993"/>
        </w:tabs>
        <w:spacing w:before="120"/>
        <w:ind w:firstLine="709"/>
        <w:jc w:val="center"/>
        <w:rPr>
          <w:i/>
          <w:sz w:val="28"/>
          <w:szCs w:val="28"/>
        </w:rPr>
      </w:pPr>
      <w:r w:rsidRPr="00D95C04">
        <w:rPr>
          <w:i/>
          <w:sz w:val="28"/>
          <w:szCs w:val="28"/>
        </w:rPr>
        <w:t>«2</w:t>
      </w:r>
      <w:r w:rsidR="008D05AE" w:rsidRPr="008D05AE">
        <w:rPr>
          <w:i/>
          <w:sz w:val="28"/>
          <w:szCs w:val="28"/>
        </w:rPr>
        <w:t>0</w:t>
      </w:r>
      <w:r w:rsidRPr="00D95C04">
        <w:rPr>
          <w:i/>
          <w:sz w:val="28"/>
          <w:szCs w:val="28"/>
        </w:rPr>
        <w:t xml:space="preserve"> 0 И5 00000 Федеральный проект «Безопасность дорожного движения»</w:t>
      </w:r>
    </w:p>
    <w:p w14:paraId="06BAD278" w14:textId="7C32FB89"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По данной целевой статье отражаются расходы бюджета в рамках федерального проекта «Безопасность дорожного движения» национального проекта «Безопасные качественные  дороги» по соответствующим видам расходов, в том числе:</w:t>
      </w:r>
    </w:p>
    <w:p w14:paraId="654FCB93" w14:textId="4AE8B493"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–SД810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7EEAF459" w14:textId="6F708C37"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14:paraId="6EAF1D56" w14:textId="77777777" w:rsidR="00D95C04" w:rsidRDefault="00D95C04" w:rsidP="00CB0AA1">
      <w:pPr>
        <w:tabs>
          <w:tab w:val="left" w:pos="709"/>
          <w:tab w:val="left" w:pos="993"/>
        </w:tabs>
        <w:spacing w:before="120"/>
        <w:ind w:firstLine="709"/>
        <w:jc w:val="both"/>
        <w:rPr>
          <w:color w:val="000000" w:themeColor="text1"/>
          <w:sz w:val="28"/>
          <w:szCs w:val="28"/>
        </w:rPr>
      </w:pP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По данной целевой статье отражаются расходы местного бюджета на реализацию муниципальной программы «Энергосбережение и повышение </w:t>
      </w:r>
      <w:r w:rsidRPr="0079535E">
        <w:rPr>
          <w:sz w:val="28"/>
          <w:szCs w:val="28"/>
        </w:rPr>
        <w:lastRenderedPageBreak/>
        <w:t>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9D5E6B" w:rsidRDefault="00F458D7" w:rsidP="0079535E">
      <w:pPr>
        <w:tabs>
          <w:tab w:val="left" w:pos="851"/>
          <w:tab w:val="left" w:pos="993"/>
        </w:tabs>
        <w:spacing w:before="120"/>
        <w:ind w:firstLine="709"/>
        <w:jc w:val="both"/>
        <w:rPr>
          <w:sz w:val="28"/>
          <w:szCs w:val="28"/>
        </w:rPr>
      </w:pPr>
      <w:r w:rsidRPr="009D5E6B">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9D5E6B" w:rsidRDefault="00F458D7" w:rsidP="009D5E6B">
      <w:pPr>
        <w:tabs>
          <w:tab w:val="left" w:pos="851"/>
          <w:tab w:val="left" w:pos="993"/>
        </w:tabs>
        <w:spacing w:before="120"/>
        <w:ind w:firstLine="709"/>
        <w:jc w:val="both"/>
        <w:rPr>
          <w:i/>
          <w:sz w:val="28"/>
          <w:szCs w:val="28"/>
        </w:rPr>
      </w:pPr>
      <w:r w:rsidRPr="009D5E6B">
        <w:rPr>
          <w:i/>
          <w:sz w:val="28"/>
          <w:szCs w:val="28"/>
        </w:rPr>
        <w:t>22 0 00 00000 Муниципальная программа «Формирование современной городской среды»</w:t>
      </w:r>
    </w:p>
    <w:p w14:paraId="00A27179" w14:textId="77973A63" w:rsidR="004D247E" w:rsidRPr="009D5E6B" w:rsidRDefault="00F458D7" w:rsidP="009D5E6B">
      <w:pPr>
        <w:tabs>
          <w:tab w:val="left" w:pos="851"/>
        </w:tabs>
        <w:spacing w:before="120"/>
        <w:ind w:firstLine="709"/>
        <w:jc w:val="both"/>
        <w:rPr>
          <w:sz w:val="28"/>
          <w:szCs w:val="28"/>
        </w:rPr>
      </w:pPr>
      <w:r w:rsidRPr="009D5E6B">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67320EFD" w14:textId="4800C7A2" w:rsidR="009D5E6B" w:rsidRPr="009D5E6B" w:rsidRDefault="009D5E6B" w:rsidP="009D5E6B">
      <w:pPr>
        <w:tabs>
          <w:tab w:val="left" w:pos="851"/>
        </w:tabs>
        <w:spacing w:before="120"/>
        <w:ind w:firstLine="709"/>
        <w:jc w:val="both"/>
        <w:rPr>
          <w:sz w:val="28"/>
          <w:szCs w:val="28"/>
        </w:rPr>
      </w:pPr>
      <w:r w:rsidRPr="009D5E6B">
        <w:rPr>
          <w:sz w:val="28"/>
          <w:szCs w:val="28"/>
        </w:rPr>
        <w:t>–80</w:t>
      </w:r>
      <w:r w:rsidR="00163E97">
        <w:rPr>
          <w:sz w:val="28"/>
          <w:szCs w:val="28"/>
        </w:rPr>
        <w:t>20</w:t>
      </w:r>
      <w:r w:rsidRPr="009D5E6B">
        <w:rPr>
          <w:sz w:val="28"/>
          <w:szCs w:val="28"/>
        </w:rPr>
        <w:t>А Реализация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6059EA89" w14:textId="448FC1A8"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7337E085" w14:textId="1641125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Б Реализация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41AD5291"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31454F15" w14:textId="52758CD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В Реализация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4AF79A44"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17E6010A" w14:textId="6935AA2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 xml:space="preserve">Г Реализация инициативных проектов в рамках регионального </w:t>
      </w:r>
      <w:r w:rsidRPr="009D5E6B">
        <w:rPr>
          <w:sz w:val="28"/>
          <w:szCs w:val="28"/>
        </w:rPr>
        <w:lastRenderedPageBreak/>
        <w:t>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DC2AA6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0104673" w14:textId="3BECF4E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Д Реализация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6B6B8E8E"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1848C331" w14:textId="75F16A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Е Реализация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A74EDF7"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2D9FB4B" w14:textId="46E4F6BD"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Ж Реализация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6F8A289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2242FE9F" w14:textId="02B6F902"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И Реализация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7F2ED939"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43505A24" w14:textId="14E8DDE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К Реализация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C9EE96C" w14:textId="77777777" w:rsidR="009D5E6B" w:rsidRPr="009D5E6B" w:rsidRDefault="009D5E6B" w:rsidP="009D5E6B">
      <w:pPr>
        <w:tabs>
          <w:tab w:val="left" w:pos="851"/>
        </w:tabs>
        <w:spacing w:before="120"/>
        <w:ind w:firstLine="709"/>
        <w:jc w:val="both"/>
        <w:rPr>
          <w:sz w:val="28"/>
          <w:szCs w:val="28"/>
        </w:rPr>
      </w:pPr>
      <w:r w:rsidRPr="009D5E6B">
        <w:rPr>
          <w:sz w:val="28"/>
          <w:szCs w:val="28"/>
        </w:rPr>
        <w:lastRenderedPageBreak/>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76DC5F9" w14:textId="5407B60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Л Реализация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4950D77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3D66F3BB" w14:textId="5210BD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М Реализация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31A11E4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0D147A38" w14:textId="241648A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Н Реализация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65A16EB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7D20468D" w14:textId="1171393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20П</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A3F8FA6"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376BA08" w14:textId="1688888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20Р</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0CCB9FDF" w14:textId="77777777" w:rsidR="009D5E6B" w:rsidRPr="009D5E6B" w:rsidRDefault="009D5E6B" w:rsidP="009D5E6B">
      <w:pPr>
        <w:tabs>
          <w:tab w:val="left" w:pos="851"/>
        </w:tabs>
        <w:spacing w:before="120"/>
        <w:ind w:firstLine="709"/>
        <w:jc w:val="both"/>
        <w:rPr>
          <w:sz w:val="28"/>
          <w:szCs w:val="28"/>
        </w:rPr>
      </w:pPr>
      <w:r w:rsidRPr="009D5E6B">
        <w:rPr>
          <w:sz w:val="28"/>
          <w:szCs w:val="28"/>
        </w:rPr>
        <w:lastRenderedPageBreak/>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7AC0F51E" w14:textId="3DDA10A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20С</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(Молодежный проект «Твой путь»).</w:t>
      </w:r>
    </w:p>
    <w:p w14:paraId="57886833"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«Твой путь»);</w:t>
      </w:r>
    </w:p>
    <w:p w14:paraId="27124060" w14:textId="7B2836B0"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20Т</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023C602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61421B6C" w14:textId="4D0165AA" w:rsidR="009D5E6B" w:rsidRPr="00425A65" w:rsidRDefault="009D5E6B" w:rsidP="00425A65">
      <w:pPr>
        <w:tabs>
          <w:tab w:val="left" w:pos="851"/>
        </w:tabs>
        <w:spacing w:before="120"/>
        <w:ind w:firstLine="709"/>
        <w:jc w:val="both"/>
        <w:rPr>
          <w:sz w:val="28"/>
          <w:szCs w:val="28"/>
        </w:rPr>
      </w:pPr>
      <w:r w:rsidRPr="009D5E6B">
        <w:rPr>
          <w:sz w:val="28"/>
          <w:szCs w:val="28"/>
        </w:rPr>
        <w:t>– 80</w:t>
      </w:r>
      <w:r w:rsidR="00163E97">
        <w:rPr>
          <w:sz w:val="28"/>
          <w:szCs w:val="28"/>
        </w:rPr>
        <w:t>20У</w:t>
      </w:r>
      <w:r w:rsidRPr="009D5E6B">
        <w:rPr>
          <w:sz w:val="28"/>
          <w:szCs w:val="28"/>
        </w:rPr>
        <w:t xml:space="preserve"> Реализация инициативных проектов в рамках регионального </w:t>
      </w:r>
      <w:r w:rsidRPr="00425A65">
        <w:rPr>
          <w:sz w:val="28"/>
          <w:szCs w:val="28"/>
        </w:rPr>
        <w:t>проекта «Комфортное Поморье» за счет средств местного бюджета («Чистая улица» на территории пр. им. М.В. Ломоносова).</w:t>
      </w:r>
    </w:p>
    <w:p w14:paraId="4022FB38" w14:textId="12DBAD89" w:rsidR="009D5E6B" w:rsidRPr="00AA7436" w:rsidRDefault="009D5E6B" w:rsidP="00AA7436">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AA7436">
        <w:rPr>
          <w:sz w:val="28"/>
          <w:szCs w:val="28"/>
        </w:rPr>
        <w:t>«Комфортное Поморье» за счет средств местного бюджета («Чистая улица» на территории пр. им. М.В. Ломоносова)</w:t>
      </w:r>
      <w:r w:rsidR="00425A65" w:rsidRPr="00AA7436">
        <w:rPr>
          <w:sz w:val="28"/>
          <w:szCs w:val="28"/>
        </w:rPr>
        <w:t>;</w:t>
      </w:r>
    </w:p>
    <w:p w14:paraId="76F5F159" w14:textId="00EF9BF0" w:rsidR="00AA7436" w:rsidRPr="00AA7436" w:rsidRDefault="00AA7436" w:rsidP="00AA7436">
      <w:pPr>
        <w:spacing w:before="120"/>
        <w:ind w:firstLine="709"/>
        <w:jc w:val="both"/>
        <w:rPr>
          <w:color w:val="000000"/>
          <w:sz w:val="28"/>
          <w:szCs w:val="28"/>
        </w:rPr>
      </w:pPr>
      <w:r w:rsidRPr="00AA7436">
        <w:rPr>
          <w:sz w:val="28"/>
          <w:szCs w:val="28"/>
        </w:rPr>
        <w:t>– 8020Ф Реализация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5438CB68" w14:textId="0D5C9349"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79179FF6" w14:textId="77777777" w:rsidR="00D40CBC" w:rsidRPr="00B82E81" w:rsidRDefault="00D40CBC" w:rsidP="00D40CBC">
      <w:pPr>
        <w:ind w:firstLine="709"/>
        <w:jc w:val="both"/>
        <w:rPr>
          <w:color w:val="000000"/>
          <w:sz w:val="27"/>
          <w:szCs w:val="27"/>
        </w:rPr>
      </w:pPr>
      <w:r w:rsidRPr="00B82E81">
        <w:rPr>
          <w:sz w:val="27"/>
          <w:szCs w:val="27"/>
        </w:rPr>
        <w:t>«–80</w:t>
      </w:r>
      <w:r>
        <w:rPr>
          <w:sz w:val="27"/>
          <w:szCs w:val="27"/>
        </w:rPr>
        <w:t>20Ц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1A608958" w14:textId="77777777" w:rsidR="00D40CBC" w:rsidRPr="00B82E81" w:rsidRDefault="00D40CBC" w:rsidP="00D40CBC">
      <w:pPr>
        <w:pStyle w:val="af0"/>
        <w:tabs>
          <w:tab w:val="left" w:pos="567"/>
        </w:tabs>
        <w:ind w:left="0"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w:t>
      </w:r>
      <w:r w:rsidRPr="00042730">
        <w:rPr>
          <w:sz w:val="27"/>
          <w:szCs w:val="27"/>
        </w:rPr>
        <w:t xml:space="preserve">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2492D386" w14:textId="77777777" w:rsidR="00425A65" w:rsidRPr="00425A65" w:rsidRDefault="00425A65" w:rsidP="00425A65">
      <w:pPr>
        <w:spacing w:before="120"/>
        <w:ind w:firstLine="709"/>
        <w:jc w:val="both"/>
        <w:rPr>
          <w:color w:val="000000"/>
          <w:sz w:val="28"/>
          <w:szCs w:val="28"/>
        </w:rPr>
      </w:pPr>
      <w:r w:rsidRPr="00425A65">
        <w:rPr>
          <w:sz w:val="28"/>
          <w:szCs w:val="28"/>
        </w:rPr>
        <w:t>–</w:t>
      </w:r>
      <w:r w:rsidRPr="00425A65">
        <w:rPr>
          <w:sz w:val="28"/>
          <w:szCs w:val="28"/>
          <w:lang w:val="en-US"/>
        </w:rPr>
        <w:t>S</w:t>
      </w:r>
      <w:r w:rsidRPr="00425A65">
        <w:rPr>
          <w:sz w:val="28"/>
          <w:szCs w:val="28"/>
        </w:rPr>
        <w:t xml:space="preserve">889А Реализация инициативных проектов в рамках регионального проекта «Комфортное Поморье» («Комфортный дом – залог успеха» (ремонт </w:t>
      </w:r>
      <w:r w:rsidRPr="00425A65">
        <w:rPr>
          <w:sz w:val="28"/>
          <w:szCs w:val="28"/>
        </w:rPr>
        <w:lastRenderedPageBreak/>
        <w:t>кровли клуба собаководов «МАКНАЛИС»).</w:t>
      </w:r>
    </w:p>
    <w:p w14:paraId="2FC993B9"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(«Комфортный дом – залог успеха» (ремонт кровли клуба собаководов «МАКНАЛИС»);</w:t>
      </w:r>
    </w:p>
    <w:p w14:paraId="6334E417"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S889Б Реализация инициативных проектов в рамках регионального проекта «Комфортное Поморье» (Благоустройство прилегающей территории Дома детского творчества города Коряжмы).</w:t>
      </w:r>
    </w:p>
    <w:p w14:paraId="7F1F35EC"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прилегающей территории Дома детского творчества города Коряжмы);</w:t>
      </w:r>
    </w:p>
    <w:p w14:paraId="6B648A5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S889В Реализация инициативных проектов в рамках регионального проекта «Комфортное Поморье» («Детский двор» Советская 6, 6А, 6Б, Ленина 38).</w:t>
      </w:r>
    </w:p>
    <w:p w14:paraId="0B1BB26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(«Детский двор» Советская 6, 6А, 6Б, Ленина 38);</w:t>
      </w:r>
    </w:p>
    <w:p w14:paraId="4098C77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S889Г Реализация инициативных проектов в рамках регионального проекта «Комфортное Поморье»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40288E66"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EEBB00D"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S889Д Реализация инициативных проектов в рамках регионального проекта «Комфортное Поморье» («Модернизация» Пушкина 4 – Набережная 36А).</w:t>
      </w:r>
    </w:p>
    <w:p w14:paraId="62CDCA1F"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(«Модернизация» Пушкина 4 – Набережная 36А);</w:t>
      </w:r>
    </w:p>
    <w:p w14:paraId="0BCFFA9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S889Е Реализация инициативных проектов в рамках регионального проекта «Комфортное Поморье» (Помним Героев и Патриотов России).</w:t>
      </w:r>
    </w:p>
    <w:p w14:paraId="44CCC825" w14:textId="77777777" w:rsidR="00425A65" w:rsidRPr="00425A65" w:rsidRDefault="00425A65" w:rsidP="00425A65">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425A65">
        <w:rPr>
          <w:sz w:val="28"/>
          <w:szCs w:val="28"/>
        </w:rPr>
        <w:lastRenderedPageBreak/>
        <w:t>«Комфортное Поморье» за счет средств областного бюджета (Помним Героев и Патриотов России);</w:t>
      </w:r>
    </w:p>
    <w:p w14:paraId="7F271F1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S889Ж Реализация инициативных проектов в рамках регионального проекта «Комфортное Поморье» (Арт-объект КОРЯЖМА на въезде в город ул. Глейха).</w:t>
      </w:r>
    </w:p>
    <w:p w14:paraId="1AE1760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(Арт-объект КОРЯЖМА на въезде в город ул. Глейха);</w:t>
      </w:r>
    </w:p>
    <w:p w14:paraId="567A9462"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S889И Реализация инициативных проектов в рамках регионального проекта «Комфортное Поморье» («Фасад – лицо школы» Молодежный проект).</w:t>
      </w:r>
    </w:p>
    <w:p w14:paraId="379B4E4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(«Фасад – лицо школы» Молодежный проект);</w:t>
      </w:r>
    </w:p>
    <w:p w14:paraId="5C16584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S889К Реализация инициативных проектов в рамках регионального проекта «Комфортное Поморье» («Уютный двор – это здОрово и здорОво!» г. Коряжма, ул. Пушкина, д.3,5).</w:t>
      </w:r>
    </w:p>
    <w:p w14:paraId="6046546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 – это здОрово и здорОво!» г. Коряжма, ул. Пушкина, д.3,5);</w:t>
      </w:r>
    </w:p>
    <w:p w14:paraId="0520790B"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S889Л Реализация инициативных проектов в рамках регионального проекта «Комфортное Поморье» (Благоустройство дворовой территории, устройство проезда дома №23 по ул. Кирова).</w:t>
      </w:r>
    </w:p>
    <w:p w14:paraId="49D04003"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дворовой территории, устройство проезда дома №23 по ул. Кирова);</w:t>
      </w:r>
    </w:p>
    <w:p w14:paraId="55348296"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S889М Реализация инициативных проектов в рамках регионального проекта «Комфортное Поморье» («Веселая затея» МКД 14, 16 по ул. Лермонтова).</w:t>
      </w:r>
    </w:p>
    <w:p w14:paraId="5A82A9FA"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(«Веселая затея» МКД 14, 16 по ул. Лермонтова);</w:t>
      </w:r>
    </w:p>
    <w:p w14:paraId="61BFD4D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S889Н Реализация инициативных проектов в рамках регионального проекта «Комфортное Поморье» (Восстановление разрушенного тротуара от домов 29А,29Б по ул. Архангельской к МОУ «СОШ №6» и магазину «Пятерочка»).</w:t>
      </w:r>
    </w:p>
    <w:p w14:paraId="1754B045"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lastRenderedPageBreak/>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(Восстановление разрушенного тротуара от домов 29А,29Б по ул. Архангельской к МОУ «СОШ №6» и магазину «Пятерочка»);</w:t>
      </w:r>
    </w:p>
    <w:p w14:paraId="26FB061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889П Реализация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07252441"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36EC962C"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889Р Реализация инициативных проектов в рамках регионального проекта «Комфортное Поморье» (Реконструкция контейнерной площадки у домов № 30 по пр. Ленина, №3А, 3Б по пр. имени М.В. Ломоносова).</w:t>
      </w:r>
    </w:p>
    <w:p w14:paraId="2D49F78B"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(Реконструкция контейнерной площадки у домов № 30 по пр. Ленина, №3А, 3Б по пр. имени М.В. Ломоносова);</w:t>
      </w:r>
    </w:p>
    <w:p w14:paraId="09AA5602"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889С Реализация инициативных проектов в рамках регионального проекта «Комфортное Поморье» (Молодежный проект «Твой путь»).</w:t>
      </w:r>
    </w:p>
    <w:p w14:paraId="66B23B47"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«Твой путь»);</w:t>
      </w:r>
    </w:p>
    <w:p w14:paraId="5E99079B"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889Т Реализация инициативных проектов в рамках регионального проекта «Комфортное Поморье» («С заботой о молодом поколении» ТОС №20 Пушкина,15).</w:t>
      </w:r>
    </w:p>
    <w:p w14:paraId="2FC5A5F8"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(«С заботой о молодом поколении» ТОС №20 Пушкина,15);</w:t>
      </w:r>
    </w:p>
    <w:p w14:paraId="4C7CDAB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889У Реализация инициативных проектов в рамках регионального проекта «Комфортное Поморье» («Чистая улица» на территории пр. им. М.В. Ломоносова).</w:t>
      </w:r>
    </w:p>
    <w:p w14:paraId="228006D5" w14:textId="52789684" w:rsidR="00425A65" w:rsidRPr="00AA7436" w:rsidRDefault="00425A65" w:rsidP="00AA7436">
      <w:pPr>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(«Чистая улица» </w:t>
      </w:r>
      <w:r w:rsidRPr="00AA7436">
        <w:rPr>
          <w:sz w:val="28"/>
          <w:szCs w:val="28"/>
        </w:rPr>
        <w:lastRenderedPageBreak/>
        <w:t>на территории пр. им. М.В. Ломоносова)</w:t>
      </w:r>
      <w:r w:rsidR="00AA7436" w:rsidRPr="00AA7436">
        <w:rPr>
          <w:sz w:val="28"/>
          <w:szCs w:val="28"/>
        </w:rPr>
        <w:t>;</w:t>
      </w:r>
    </w:p>
    <w:p w14:paraId="0326000B" w14:textId="2F682F4A" w:rsidR="00AA7436" w:rsidRPr="00AA7436" w:rsidRDefault="00AA7436" w:rsidP="00AA7436">
      <w:pPr>
        <w:spacing w:before="120"/>
        <w:ind w:firstLine="709"/>
        <w:jc w:val="both"/>
        <w:rPr>
          <w:color w:val="000000"/>
          <w:sz w:val="28"/>
          <w:szCs w:val="28"/>
        </w:rPr>
      </w:pPr>
      <w:r w:rsidRPr="00AA7436">
        <w:rPr>
          <w:sz w:val="28"/>
          <w:szCs w:val="28"/>
        </w:rPr>
        <w:t xml:space="preserve">– </w:t>
      </w:r>
      <w:r w:rsidRPr="00AA7436">
        <w:rPr>
          <w:sz w:val="28"/>
          <w:szCs w:val="28"/>
          <w:lang w:val="en-US"/>
        </w:rPr>
        <w:t>S</w:t>
      </w:r>
      <w:r w:rsidRPr="00AA7436">
        <w:rPr>
          <w:sz w:val="28"/>
          <w:szCs w:val="28"/>
        </w:rPr>
        <w:t>889Ф Реализация инициативных проектов в рамках регионального проекта «Комфортное Поморье» (нераспределенный остаток средств).</w:t>
      </w:r>
    </w:p>
    <w:p w14:paraId="63DC678E" w14:textId="252E58B3"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(нераспределенный остаток средств)</w:t>
      </w:r>
      <w:r w:rsidR="00D40CBC">
        <w:rPr>
          <w:sz w:val="28"/>
          <w:szCs w:val="28"/>
        </w:rPr>
        <w:t>;</w:t>
      </w:r>
    </w:p>
    <w:p w14:paraId="67F43E70" w14:textId="77777777" w:rsidR="00D40CBC" w:rsidRPr="00B82E81" w:rsidRDefault="00D40CBC" w:rsidP="00D40CBC">
      <w:pPr>
        <w:ind w:firstLine="709"/>
        <w:jc w:val="both"/>
        <w:rPr>
          <w:sz w:val="27"/>
          <w:szCs w:val="27"/>
        </w:rPr>
      </w:pPr>
      <w:r w:rsidRPr="00B82E81">
        <w:rPr>
          <w:sz w:val="27"/>
          <w:szCs w:val="27"/>
        </w:rPr>
        <w:t xml:space="preserve">– </w:t>
      </w:r>
      <w:r>
        <w:rPr>
          <w:sz w:val="27"/>
          <w:szCs w:val="27"/>
          <w:lang w:val="en-US"/>
        </w:rPr>
        <w:t>S</w:t>
      </w:r>
      <w:r w:rsidRPr="00586678">
        <w:rPr>
          <w:sz w:val="27"/>
          <w:szCs w:val="27"/>
        </w:rPr>
        <w:t>889</w:t>
      </w:r>
      <w:r>
        <w:rPr>
          <w:sz w:val="27"/>
          <w:szCs w:val="27"/>
        </w:rPr>
        <w:t>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200C3352" w14:textId="77777777" w:rsidR="00D40CBC" w:rsidRPr="00B82E81" w:rsidRDefault="00D40CBC" w:rsidP="00D40CBC">
      <w:pPr>
        <w:ind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w:t>
      </w:r>
      <w:r>
        <w:rPr>
          <w:sz w:val="27"/>
          <w:szCs w:val="27"/>
        </w:rPr>
        <w:t>областного</w:t>
      </w:r>
      <w:r w:rsidRPr="00B82E81">
        <w:rPr>
          <w:sz w:val="27"/>
          <w:szCs w:val="27"/>
        </w:rPr>
        <w:t xml:space="preserve"> бюджета </w:t>
      </w:r>
      <w:r w:rsidRPr="00042730">
        <w:rPr>
          <w:sz w:val="27"/>
          <w:szCs w:val="27"/>
        </w:rPr>
        <w:t xml:space="preserve">(Флагманский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lastRenderedPageBreak/>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lastRenderedPageBreak/>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lastRenderedPageBreak/>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жилищно-коммунального хозяйства по соответствующим </w:t>
      </w:r>
      <w:r>
        <w:rPr>
          <w:sz w:val="28"/>
          <w:szCs w:val="28"/>
        </w:rPr>
        <w:lastRenderedPageBreak/>
        <w:t>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lastRenderedPageBreak/>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lastRenderedPageBreak/>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w:t>
      </w:r>
      <w:r>
        <w:rPr>
          <w:sz w:val="28"/>
          <w:szCs w:val="28"/>
        </w:rPr>
        <w:lastRenderedPageBreak/>
        <w:t>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w:t>
      </w:r>
      <w:r>
        <w:rPr>
          <w:sz w:val="28"/>
          <w:szCs w:val="28"/>
        </w:rPr>
        <w:lastRenderedPageBreak/>
        <w:t xml:space="preserve">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57E"/>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3E97"/>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B7CBB"/>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5A65"/>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4C38"/>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1BF8"/>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18E"/>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6B5D"/>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02B"/>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4BC6"/>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05AE"/>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5E6B"/>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436"/>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BF7D0A"/>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26195"/>
    <w:rsid w:val="00D30EB4"/>
    <w:rsid w:val="00D318C8"/>
    <w:rsid w:val="00D353FF"/>
    <w:rsid w:val="00D36638"/>
    <w:rsid w:val="00D40CBC"/>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0561"/>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95C04"/>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14BB"/>
    <w:rsid w:val="00F121CA"/>
    <w:rsid w:val="00F12F9F"/>
    <w:rsid w:val="00F13ABC"/>
    <w:rsid w:val="00F20FAC"/>
    <w:rsid w:val="00F20FF2"/>
    <w:rsid w:val="00F21A4E"/>
    <w:rsid w:val="00F22370"/>
    <w:rsid w:val="00F229FD"/>
    <w:rsid w:val="00F22D48"/>
    <w:rsid w:val="00F22DC6"/>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9306</Words>
  <Characters>69408</Characters>
  <Application>Microsoft Office Word</Application>
  <DocSecurity>0</DocSecurity>
  <Lines>578</Lines>
  <Paragraphs>157</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popova</cp:lastModifiedBy>
  <cp:revision>3</cp:revision>
  <cp:lastPrinted>2024-10-24T12:54:00Z</cp:lastPrinted>
  <dcterms:created xsi:type="dcterms:W3CDTF">2025-04-09T06:08:00Z</dcterms:created>
  <dcterms:modified xsi:type="dcterms:W3CDTF">2025-04-09T06:09:00Z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