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77777777" w:rsidR="00792DD7" w:rsidRDefault="00792DD7" w:rsidP="00792DD7">
      <w:pPr>
        <w:jc w:val="center"/>
        <w:rPr>
          <w:rFonts w:ascii="Arial" w:hAnsi="Arial" w:cs="Arial"/>
          <w:b/>
          <w:sz w:val="24"/>
          <w:szCs w:val="24"/>
        </w:rPr>
      </w:pPr>
      <w:r>
        <w:rPr>
          <w:rFonts w:ascii="Arial" w:hAnsi="Arial" w:cs="Arial"/>
          <w:b/>
          <w:sz w:val="24"/>
          <w:szCs w:val="24"/>
        </w:rPr>
        <w:t>Архангельской области «Город Коряжма»</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0" w:type="auto"/>
        <w:tblLayout w:type="fixed"/>
        <w:tblLook w:val="04A0" w:firstRow="1" w:lastRow="0" w:firstColumn="1" w:lastColumn="0" w:noHBand="0" w:noVBand="1"/>
      </w:tblPr>
      <w:tblGrid>
        <w:gridCol w:w="4395"/>
        <w:gridCol w:w="4758"/>
      </w:tblGrid>
      <w:tr w:rsidR="00792DD7" w:rsidRPr="00205706" w14:paraId="73677185" w14:textId="77777777" w:rsidTr="00792DD7">
        <w:trPr>
          <w:trHeight w:val="368"/>
        </w:trPr>
        <w:tc>
          <w:tcPr>
            <w:tcW w:w="9153" w:type="dxa"/>
            <w:gridSpan w:val="2"/>
            <w:vAlign w:val="center"/>
          </w:tcPr>
          <w:p w14:paraId="3F607B50" w14:textId="195017ED" w:rsidR="00792DD7" w:rsidRPr="00205706" w:rsidRDefault="00792DD7" w:rsidP="002909AF">
            <w:pPr>
              <w:ind w:right="-57"/>
              <w:jc w:val="center"/>
              <w:rPr>
                <w:sz w:val="26"/>
                <w:szCs w:val="26"/>
              </w:rPr>
            </w:pPr>
            <w:r w:rsidRPr="00205706">
              <w:rPr>
                <w:sz w:val="26"/>
                <w:szCs w:val="26"/>
              </w:rPr>
              <w:t xml:space="preserve">от </w:t>
            </w:r>
            <w:r>
              <w:rPr>
                <w:sz w:val="26"/>
                <w:szCs w:val="26"/>
              </w:rPr>
              <w:t>31.10</w:t>
            </w:r>
            <w:r w:rsidRPr="00205706">
              <w:rPr>
                <w:sz w:val="26"/>
                <w:szCs w:val="26"/>
              </w:rPr>
              <w:t>.2024      № 02/</w:t>
            </w:r>
            <w:r>
              <w:rPr>
                <w:sz w:val="26"/>
                <w:szCs w:val="26"/>
              </w:rPr>
              <w:t>155</w:t>
            </w:r>
            <w:r w:rsidRPr="00205706">
              <w:rPr>
                <w:sz w:val="26"/>
                <w:szCs w:val="26"/>
              </w:rPr>
              <w:t>р</w:t>
            </w:r>
          </w:p>
        </w:tc>
      </w:tr>
      <w:tr w:rsidR="00792DD7" w:rsidRPr="00205706" w14:paraId="1F80B823" w14:textId="77777777" w:rsidTr="00792DD7">
        <w:trPr>
          <w:trHeight w:val="368"/>
        </w:trPr>
        <w:tc>
          <w:tcPr>
            <w:tcW w:w="9153"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843D1C">
        <w:trPr>
          <w:trHeight w:val="368"/>
        </w:trPr>
        <w:tc>
          <w:tcPr>
            <w:tcW w:w="4395" w:type="dxa"/>
            <w:vAlign w:val="center"/>
          </w:tcPr>
          <w:p w14:paraId="2824D9B4" w14:textId="28652FE1" w:rsidR="00792DD7" w:rsidRPr="00C6698B" w:rsidRDefault="00792DD7" w:rsidP="00D42DB2">
            <w:pPr>
              <w:jc w:val="both"/>
              <w:rPr>
                <w:sz w:val="27"/>
                <w:szCs w:val="27"/>
              </w:rPr>
            </w:pPr>
            <w:r w:rsidRPr="00C6698B">
              <w:rPr>
                <w:sz w:val="27"/>
                <w:szCs w:val="27"/>
              </w:rPr>
              <w:t>О</w:t>
            </w:r>
            <w:r>
              <w:rPr>
                <w:sz w:val="27"/>
                <w:szCs w:val="27"/>
              </w:rPr>
              <w:t>б</w:t>
            </w:r>
            <w:r w:rsidRPr="00C6698B">
              <w:rPr>
                <w:sz w:val="27"/>
                <w:szCs w:val="27"/>
              </w:rPr>
              <w:t xml:space="preserve"> </w:t>
            </w:r>
            <w:r>
              <w:rPr>
                <w:sz w:val="27"/>
                <w:szCs w:val="27"/>
              </w:rPr>
              <w:t>утверждении классификации бюджета городского округа Архангельской области «Город Коряжма»</w:t>
            </w:r>
          </w:p>
          <w:p w14:paraId="28C090B4" w14:textId="77777777" w:rsidR="00792DD7" w:rsidRPr="00C6698B" w:rsidRDefault="00792DD7" w:rsidP="00E62498">
            <w:pPr>
              <w:jc w:val="center"/>
              <w:rPr>
                <w:sz w:val="27"/>
                <w:szCs w:val="27"/>
              </w:rPr>
            </w:pPr>
          </w:p>
        </w:tc>
        <w:tc>
          <w:tcPr>
            <w:tcW w:w="4758" w:type="dxa"/>
            <w:vAlign w:val="center"/>
          </w:tcPr>
          <w:p w14:paraId="7E7C19B6" w14:textId="77777777" w:rsidR="00792DD7" w:rsidRPr="00C6698B" w:rsidRDefault="00792DD7" w:rsidP="00E62498">
            <w:pPr>
              <w:jc w:val="center"/>
              <w:rPr>
                <w:sz w:val="27"/>
                <w:szCs w:val="27"/>
              </w:rPr>
            </w:pPr>
          </w:p>
        </w:tc>
      </w:tr>
    </w:tbl>
    <w:bookmarkEnd w:id="0"/>
    <w:p w14:paraId="72E2C1FA" w14:textId="1B201952" w:rsidR="00843D1C" w:rsidRDefault="00843D1C" w:rsidP="00E62498">
      <w:pPr>
        <w:widowControl/>
        <w:adjustRightInd w:val="0"/>
        <w:ind w:firstLine="709"/>
        <w:jc w:val="center"/>
        <w:rPr>
          <w:sz w:val="28"/>
          <w:szCs w:val="28"/>
        </w:rPr>
      </w:pPr>
      <w:r>
        <w:rPr>
          <w:color w:val="FF0000"/>
          <w:sz w:val="28"/>
          <w:szCs w:val="28"/>
        </w:rPr>
        <w:t>(в редакции распоряжений финансового управления от 10.01.2025 №02/02р</w:t>
      </w:r>
      <w:r w:rsidR="00E62498">
        <w:rPr>
          <w:color w:val="FF0000"/>
          <w:sz w:val="28"/>
          <w:szCs w:val="28"/>
        </w:rPr>
        <w:t>, от 03.02.2025 № 03/18р</w:t>
      </w:r>
      <w:r w:rsidR="00D42DB2">
        <w:rPr>
          <w:color w:val="FF0000"/>
          <w:sz w:val="28"/>
          <w:szCs w:val="28"/>
        </w:rPr>
        <w:t>, от 0</w:t>
      </w:r>
      <w:r w:rsidR="00D52240">
        <w:rPr>
          <w:color w:val="FF0000"/>
          <w:sz w:val="28"/>
          <w:szCs w:val="28"/>
        </w:rPr>
        <w:t>5</w:t>
      </w:r>
      <w:r w:rsidR="00D42DB2">
        <w:rPr>
          <w:color w:val="FF0000"/>
          <w:sz w:val="28"/>
          <w:szCs w:val="28"/>
        </w:rPr>
        <w:t>.02.2025 №02/</w:t>
      </w:r>
      <w:r w:rsidR="001D74B0">
        <w:rPr>
          <w:color w:val="FF0000"/>
          <w:sz w:val="28"/>
          <w:szCs w:val="28"/>
        </w:rPr>
        <w:t>19</w:t>
      </w:r>
      <w:r w:rsidR="00D42DB2">
        <w:rPr>
          <w:color w:val="FF0000"/>
          <w:sz w:val="28"/>
          <w:szCs w:val="28"/>
        </w:rPr>
        <w:t>р</w:t>
      </w:r>
      <w:r>
        <w:rPr>
          <w:color w:val="FF0000"/>
          <w:sz w:val="28"/>
          <w:szCs w:val="28"/>
        </w:rPr>
        <w:t>)</w:t>
      </w:r>
    </w:p>
    <w:p w14:paraId="192D9457" w14:textId="35F84F5E"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lastRenderedPageBreak/>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t>от 17.06.2024 № 03/81р</w:t>
      </w:r>
      <w:r w:rsidR="00B40E6C" w:rsidRPr="00C15412">
        <w:rPr>
          <w:sz w:val="28"/>
          <w:szCs w:val="28"/>
        </w:rPr>
        <w:t xml:space="preserve"> «О внесении изменений в распоряжение </w:t>
      </w:r>
      <w:r w:rsidR="00B40E6C" w:rsidRPr="00C15412">
        <w:rPr>
          <w:sz w:val="28"/>
          <w:szCs w:val="28"/>
        </w:rPr>
        <w:lastRenderedPageBreak/>
        <w:t>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7DC5CB9"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bookmarkStart w:id="1" w:name="_Hlk182315310"/>
      <w:r w:rsidR="00DB0D8E">
        <w:rPr>
          <w:sz w:val="24"/>
          <w:szCs w:val="24"/>
        </w:rPr>
        <w:t>31</w:t>
      </w:r>
      <w:r w:rsidRPr="00B73D74">
        <w:rPr>
          <w:sz w:val="24"/>
          <w:szCs w:val="24"/>
        </w:rPr>
        <w:t>.</w:t>
      </w:r>
      <w:r w:rsidR="00DB0D8E">
        <w:rPr>
          <w:sz w:val="24"/>
          <w:szCs w:val="24"/>
        </w:rPr>
        <w:t>10</w:t>
      </w:r>
      <w:r w:rsidRPr="00B73D74">
        <w:rPr>
          <w:sz w:val="24"/>
          <w:szCs w:val="24"/>
        </w:rPr>
        <w:t>.202</w:t>
      </w:r>
      <w:r w:rsidR="00F53F5C" w:rsidRPr="00B73D74">
        <w:rPr>
          <w:sz w:val="24"/>
          <w:szCs w:val="24"/>
        </w:rPr>
        <w:t>4</w:t>
      </w:r>
      <w:r w:rsidRPr="00B73D74">
        <w:rPr>
          <w:sz w:val="24"/>
          <w:szCs w:val="24"/>
        </w:rPr>
        <w:t xml:space="preserve"> № 02/</w:t>
      </w:r>
      <w:r w:rsidR="00DB0D8E">
        <w:rPr>
          <w:sz w:val="24"/>
          <w:szCs w:val="24"/>
        </w:rPr>
        <w:t>155</w:t>
      </w:r>
      <w:r w:rsidR="00F53F5C" w:rsidRPr="00B73D74">
        <w:rPr>
          <w:sz w:val="24"/>
          <w:szCs w:val="24"/>
        </w:rPr>
        <w:t xml:space="preserve"> </w:t>
      </w:r>
      <w:r w:rsidRPr="00B73D74">
        <w:rPr>
          <w:sz w:val="24"/>
          <w:szCs w:val="24"/>
        </w:rPr>
        <w:t>р</w:t>
      </w:r>
      <w:bookmarkEnd w:id="1"/>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2" w:name="Par0"/>
            <w:bookmarkEnd w:id="2"/>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t xml:space="preserve">Приложение 2 </w:t>
      </w:r>
    </w:p>
    <w:p w14:paraId="183FBC6D" w14:textId="34360B69" w:rsidR="00D639FA" w:rsidRDefault="00F458D7">
      <w:pPr>
        <w:ind w:left="5670" w:firstLine="283"/>
        <w:jc w:val="right"/>
        <w:rPr>
          <w:sz w:val="24"/>
          <w:szCs w:val="24"/>
        </w:rPr>
      </w:pPr>
      <w:r>
        <w:rPr>
          <w:sz w:val="24"/>
          <w:szCs w:val="24"/>
        </w:rPr>
        <w:t xml:space="preserve">к распоряжению финансового 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18EF6FE0"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07F5FB14" w14:textId="77777777" w:rsidR="00AA2DEF"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bookmarkStart w:id="3" w:name="_Hlk187396382"/>
      <w:r w:rsidR="00AA2DEF" w:rsidRPr="00AA2DEF">
        <w:rPr>
          <w:sz w:val="28"/>
          <w:szCs w:val="28"/>
        </w:rPr>
        <w:t xml:space="preserve"> </w:t>
      </w:r>
    </w:p>
    <w:p w14:paraId="5CDEF2FC" w14:textId="2AC94F5A" w:rsidR="00D639FA" w:rsidRPr="004409D8"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w:t>
      </w:r>
      <w:bookmarkEnd w:id="3"/>
    </w:p>
    <w:p w14:paraId="2FB54C7B" w14:textId="35AE6DDF" w:rsidR="004409D8" w:rsidRPr="00AA2DEF" w:rsidRDefault="004409D8">
      <w:pPr>
        <w:numPr>
          <w:ilvl w:val="0"/>
          <w:numId w:val="10"/>
        </w:numPr>
        <w:tabs>
          <w:tab w:val="left" w:pos="851"/>
          <w:tab w:val="left" w:pos="993"/>
        </w:tabs>
        <w:ind w:left="0" w:firstLine="709"/>
        <w:jc w:val="both"/>
        <w:rPr>
          <w:sz w:val="28"/>
          <w:szCs w:val="28"/>
        </w:rPr>
      </w:pPr>
      <w:bookmarkStart w:id="4" w:name="_Hlk187396885"/>
      <w:r w:rsidRPr="006151AC">
        <w:rPr>
          <w:sz w:val="28"/>
          <w:szCs w:val="28"/>
          <w:lang w:val="en-US"/>
        </w:rPr>
        <w:t>L</w:t>
      </w:r>
      <w:r w:rsidRPr="006151AC">
        <w:rPr>
          <w:sz w:val="28"/>
          <w:szCs w:val="28"/>
        </w:rPr>
        <w:t>304</w:t>
      </w:r>
      <w:r>
        <w:rPr>
          <w:sz w:val="28"/>
          <w:szCs w:val="28"/>
        </w:rPr>
        <w:t>3</w:t>
      </w:r>
      <w:r w:rsidRPr="004409D8">
        <w:rPr>
          <w:color w:val="000000"/>
          <w:sz w:val="28"/>
          <w:szCs w:val="28"/>
        </w:rPr>
        <w:t xml:space="preserve">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Pr>
          <w:sz w:val="28"/>
          <w:szCs w:val="28"/>
        </w:rPr>
        <w:t>и</w:t>
      </w:r>
      <w:r w:rsidRPr="004409D8">
        <w:rPr>
          <w:sz w:val="28"/>
          <w:szCs w:val="28"/>
        </w:rPr>
        <w:t>ные межбюджетные трансферты бюджетам муниципальных районов, муниципальных округов и городских округов Архангельской области</w:t>
      </w:r>
      <w:r w:rsidRPr="00E94B39">
        <w:rPr>
          <w:sz w:val="28"/>
          <w:szCs w:val="28"/>
        </w:rPr>
        <w:t>)</w:t>
      </w:r>
      <w:r w:rsidR="008B656D">
        <w:rPr>
          <w:sz w:val="28"/>
          <w:szCs w:val="28"/>
        </w:rPr>
        <w:t>.</w:t>
      </w:r>
    </w:p>
    <w:p w14:paraId="621EB58C" w14:textId="0685C257" w:rsidR="00AA2DEF"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и</w:t>
      </w:r>
      <w:r w:rsidRPr="004409D8">
        <w:rPr>
          <w:sz w:val="28"/>
          <w:szCs w:val="28"/>
        </w:rPr>
        <w:t>ные межбюджетные трансферты</w:t>
      </w:r>
      <w:r>
        <w:rPr>
          <w:sz w:val="28"/>
          <w:szCs w:val="28"/>
        </w:rPr>
        <w:t xml:space="preserve"> из федерального и областного бюджетов.</w:t>
      </w:r>
      <w:bookmarkEnd w:id="4"/>
    </w:p>
    <w:p w14:paraId="547D44B8" w14:textId="537A68D0" w:rsidR="00F5482E" w:rsidRDefault="00F5482E" w:rsidP="00F5482E">
      <w:pPr>
        <w:pStyle w:val="af0"/>
        <w:numPr>
          <w:ilvl w:val="0"/>
          <w:numId w:val="26"/>
        </w:numPr>
        <w:tabs>
          <w:tab w:val="left" w:pos="851"/>
          <w:tab w:val="left" w:pos="993"/>
        </w:tabs>
        <w:ind w:left="0" w:firstLine="709"/>
        <w:jc w:val="both"/>
        <w:rPr>
          <w:sz w:val="28"/>
          <w:szCs w:val="28"/>
        </w:rPr>
      </w:pPr>
      <w:r w:rsidRPr="00F5482E">
        <w:rPr>
          <w:sz w:val="28"/>
          <w:szCs w:val="28"/>
        </w:rPr>
        <w:t xml:space="preserve"> </w:t>
      </w:r>
      <w:r w:rsidRPr="00F5482E">
        <w:rPr>
          <w:sz w:val="28"/>
          <w:szCs w:val="28"/>
          <w:lang w:val="en-US"/>
        </w:rPr>
        <w:t>S</w:t>
      </w:r>
      <w:r w:rsidRPr="00F5482E">
        <w:rPr>
          <w:sz w:val="28"/>
          <w:szCs w:val="28"/>
        </w:rPr>
        <w:t>4660 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за детьми, 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w:t>
      </w:r>
      <w:r>
        <w:rPr>
          <w:sz w:val="28"/>
          <w:szCs w:val="28"/>
        </w:rPr>
        <w:t>.</w:t>
      </w:r>
    </w:p>
    <w:p w14:paraId="1A13C40A" w14:textId="42EE2923" w:rsidR="00F5482E" w:rsidRPr="00F5482E" w:rsidRDefault="00F5482E" w:rsidP="00175B30">
      <w:pPr>
        <w:widowControl/>
        <w:adjustRightInd w:val="0"/>
        <w:ind w:firstLine="851"/>
        <w:jc w:val="both"/>
        <w:rPr>
          <w:sz w:val="28"/>
          <w:szCs w:val="28"/>
        </w:rPr>
      </w:pPr>
      <w:r>
        <w:rPr>
          <w:sz w:val="28"/>
          <w:szCs w:val="28"/>
        </w:rPr>
        <w:t>По данному направлению расходов отражаются расходы местного бюджета на о</w:t>
      </w:r>
      <w:r w:rsidRPr="00F5482E">
        <w:rPr>
          <w:sz w:val="28"/>
          <w:szCs w:val="28"/>
        </w:rPr>
        <w:t>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за детьми, 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w:t>
      </w:r>
      <w:r>
        <w:rPr>
          <w:sz w:val="28"/>
          <w:szCs w:val="28"/>
        </w:rPr>
        <w:t xml:space="preserve"> в целях софинансирования </w:t>
      </w:r>
      <w:r w:rsidR="00175B30">
        <w:rPr>
          <w:sz w:val="28"/>
          <w:szCs w:val="28"/>
        </w:rPr>
        <w:t xml:space="preserve">(в том числе в полном объеме) </w:t>
      </w:r>
      <w:r>
        <w:rPr>
          <w:sz w:val="28"/>
          <w:szCs w:val="28"/>
        </w:rPr>
        <w:t>которых предоставляются субсидии и иные межбюджетные трансферты</w:t>
      </w:r>
      <w:r w:rsidR="00175B30">
        <w:rPr>
          <w:sz w:val="28"/>
          <w:szCs w:val="28"/>
        </w:rPr>
        <w:t xml:space="preserve"> из областного бюджета, которые не софинансируются из федерального бюджета.</w:t>
      </w:r>
    </w:p>
    <w:p w14:paraId="701C8762" w14:textId="106B4CF7" w:rsidR="00D639FA" w:rsidRDefault="00D639FA">
      <w:pPr>
        <w:tabs>
          <w:tab w:val="left" w:pos="851"/>
          <w:tab w:val="left" w:pos="993"/>
        </w:tabs>
        <w:ind w:firstLine="709"/>
        <w:jc w:val="both"/>
        <w:rPr>
          <w:sz w:val="28"/>
          <w:szCs w:val="28"/>
        </w:rPr>
      </w:pP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5"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5"/>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r>
        <w:rPr>
          <w:sz w:val="28"/>
          <w:szCs w:val="28"/>
        </w:rPr>
        <w:t xml:space="preserve">2.14 </w:t>
      </w:r>
      <w:r>
        <w:rPr>
          <w:b/>
          <w:sz w:val="28"/>
          <w:szCs w:val="28"/>
        </w:rPr>
        <w:t xml:space="preserve">Муниципальная программа «Обеспечение жильем молодых семей» </w:t>
      </w:r>
    </w:p>
    <w:p w14:paraId="7E7FA1C8" w14:textId="5D0C4CE0"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016E647B" w14:textId="77777777" w:rsidR="00D639FA" w:rsidRDefault="00F458D7">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31168AD" w14:textId="621480E3" w:rsidR="00C122FE" w:rsidRPr="009F7E60" w:rsidRDefault="00F458D7" w:rsidP="00C122FE">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w:t>
      </w:r>
      <w:r w:rsidR="00C122FE">
        <w:rPr>
          <w:sz w:val="28"/>
          <w:szCs w:val="28"/>
        </w:rPr>
        <w:t>.</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6539164E"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250D8408" w14:textId="77777777" w:rsidR="00E62498" w:rsidRPr="001C55B1" w:rsidRDefault="00E62498" w:rsidP="00E62498">
      <w:pPr>
        <w:tabs>
          <w:tab w:val="left" w:pos="851"/>
          <w:tab w:val="left" w:pos="993"/>
        </w:tabs>
        <w:spacing w:before="120"/>
        <w:ind w:firstLine="709"/>
        <w:jc w:val="both"/>
        <w:rPr>
          <w:sz w:val="28"/>
          <w:szCs w:val="28"/>
        </w:rPr>
      </w:pPr>
      <w:r>
        <w:rPr>
          <w:sz w:val="28"/>
          <w:szCs w:val="28"/>
        </w:rPr>
        <w:t>–</w:t>
      </w:r>
      <w:r w:rsidRPr="001C55B1">
        <w:rPr>
          <w:sz w:val="28"/>
          <w:szCs w:val="28"/>
        </w:rPr>
        <w:t xml:space="preserve"> 83101</w:t>
      </w:r>
      <w:r w:rsidRPr="001C55B1">
        <w:rPr>
          <w:color w:val="000000"/>
          <w:sz w:val="28"/>
          <w:szCs w:val="28"/>
        </w:rPr>
        <w:t xml:space="preserve"> </w:t>
      </w:r>
      <w:r w:rsidRPr="001C55B1">
        <w:rPr>
          <w:sz w:val="28"/>
          <w:szCs w:val="28"/>
        </w:rPr>
        <w:t>Субсидии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28EF941" w14:textId="77777777" w:rsidR="00E62498" w:rsidRPr="001C55B1" w:rsidRDefault="00E62498" w:rsidP="00E62498">
      <w:pPr>
        <w:tabs>
          <w:tab w:val="left" w:pos="851"/>
          <w:tab w:val="left" w:pos="993"/>
        </w:tabs>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1FCFDFF" w14:textId="77777777" w:rsidR="00E62498" w:rsidRDefault="00E62498" w:rsidP="00E62498">
      <w:pPr>
        <w:tabs>
          <w:tab w:val="left" w:pos="851"/>
          <w:tab w:val="left" w:pos="993"/>
        </w:tabs>
        <w:spacing w:before="120"/>
        <w:ind w:firstLine="709"/>
        <w:jc w:val="both"/>
        <w:rPr>
          <w:sz w:val="28"/>
          <w:szCs w:val="28"/>
        </w:rPr>
      </w:pPr>
      <w:r>
        <w:rPr>
          <w:sz w:val="28"/>
          <w:szCs w:val="28"/>
        </w:rPr>
        <w:t xml:space="preserve">– 83102 Субсидии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w:t>
      </w:r>
      <w:r>
        <w:rPr>
          <w:sz w:val="28"/>
          <w:szCs w:val="28"/>
        </w:rPr>
        <w:t>–</w:t>
      </w:r>
      <w:r w:rsidRPr="001850BB">
        <w:rPr>
          <w:sz w:val="28"/>
          <w:szCs w:val="28"/>
        </w:rPr>
        <w:t>хозфекальной канализации в микрорайоне «Зеленый-1»</w:t>
      </w:r>
      <w:r>
        <w:rPr>
          <w:sz w:val="28"/>
          <w:szCs w:val="28"/>
        </w:rPr>
        <w:t>.</w:t>
      </w:r>
    </w:p>
    <w:p w14:paraId="5A19A64B" w14:textId="21666AF7" w:rsidR="00E62498" w:rsidRDefault="00E62498" w:rsidP="00E62498">
      <w:pPr>
        <w:tabs>
          <w:tab w:val="left" w:pos="709"/>
          <w:tab w:val="left" w:pos="993"/>
        </w:tabs>
        <w:spacing w:before="120"/>
        <w:ind w:firstLine="709"/>
        <w:jc w:val="both"/>
        <w:rPr>
          <w:color w:val="000000" w:themeColor="text1"/>
          <w:sz w:val="28"/>
          <w:szCs w:val="28"/>
        </w:rPr>
      </w:pPr>
      <w:r w:rsidRPr="001C55B1">
        <w:rPr>
          <w:sz w:val="28"/>
          <w:szCs w:val="28"/>
        </w:rPr>
        <w:t>По данному направлению расходов отражаются расходы местного бюджета</w:t>
      </w:r>
      <w:r>
        <w:rPr>
          <w:sz w:val="28"/>
          <w:szCs w:val="28"/>
        </w:rPr>
        <w:t xml:space="preserve">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хозяйственно-хозфекальной канализации в микрорайоне «Зеленый-1»</w:t>
      </w:r>
      <w:r>
        <w:rPr>
          <w:sz w:val="28"/>
          <w:szCs w:val="28"/>
        </w:rPr>
        <w:t>.</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1224E69"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0D51A7A0" w14:textId="2D093FB3" w:rsidR="00E62498" w:rsidRDefault="00E62498" w:rsidP="00E62498">
      <w:pPr>
        <w:spacing w:before="120"/>
        <w:ind w:firstLine="709"/>
        <w:jc w:val="both"/>
        <w:rPr>
          <w:sz w:val="28"/>
          <w:szCs w:val="28"/>
        </w:rPr>
      </w:pPr>
      <w:r>
        <w:rPr>
          <w:sz w:val="28"/>
          <w:szCs w:val="28"/>
        </w:rPr>
        <w:t>– 83601 Субсидии</w:t>
      </w:r>
      <w:r w:rsidRPr="00D02FE7">
        <w:rPr>
          <w:sz w:val="28"/>
          <w:szCs w:val="28"/>
        </w:rPr>
        <w:t xml:space="preserve"> на возмещение затрат по содержанию фонтанов</w:t>
      </w:r>
      <w:r>
        <w:rPr>
          <w:sz w:val="28"/>
          <w:szCs w:val="28"/>
        </w:rPr>
        <w:t>.</w:t>
      </w:r>
    </w:p>
    <w:p w14:paraId="10984AE4" w14:textId="77777777" w:rsidR="00E62498" w:rsidRDefault="00E62498" w:rsidP="00E62498">
      <w:pPr>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w:t>
      </w:r>
      <w:r>
        <w:rPr>
          <w:sz w:val="28"/>
          <w:szCs w:val="28"/>
        </w:rPr>
        <w:t xml:space="preserve"> </w:t>
      </w:r>
      <w:r w:rsidRPr="00D02FE7">
        <w:rPr>
          <w:sz w:val="28"/>
          <w:szCs w:val="28"/>
        </w:rPr>
        <w:t>возмещение затрат по содержанию фонтанов</w:t>
      </w:r>
      <w:r>
        <w:rPr>
          <w:sz w:val="28"/>
          <w:szCs w:val="28"/>
        </w:rPr>
        <w:t>.</w:t>
      </w:r>
    </w:p>
    <w:p w14:paraId="3D7DD549" w14:textId="77777777" w:rsidR="00E62498" w:rsidRPr="00D02FE7" w:rsidRDefault="00E62498" w:rsidP="00E62498">
      <w:pPr>
        <w:spacing w:before="120"/>
        <w:ind w:firstLine="709"/>
        <w:jc w:val="both"/>
        <w:rPr>
          <w:sz w:val="28"/>
          <w:szCs w:val="28"/>
        </w:rPr>
      </w:pPr>
      <w:r>
        <w:rPr>
          <w:sz w:val="28"/>
          <w:szCs w:val="28"/>
        </w:rPr>
        <w:t xml:space="preserve">– 83602 Субсидии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1F6C1DCD" w14:textId="08925B1D" w:rsidR="00E62498" w:rsidRPr="00D02FE7" w:rsidRDefault="00E62498" w:rsidP="00E62498">
      <w:pPr>
        <w:spacing w:before="120"/>
        <w:ind w:firstLine="709"/>
        <w:jc w:val="both"/>
        <w:rPr>
          <w:sz w:val="28"/>
          <w:szCs w:val="28"/>
        </w:rPr>
      </w:pPr>
      <w:r w:rsidRPr="001C55B1">
        <w:rPr>
          <w:sz w:val="28"/>
          <w:szCs w:val="28"/>
        </w:rPr>
        <w:t xml:space="preserve">По данному направлению расходов отражаются расходы местного бюджета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36F82CC9" w14:textId="77777777" w:rsidR="00D639FA" w:rsidRDefault="00F458D7" w:rsidP="00E62498">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t>– 9Д001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5DCFF614" w14:textId="29751774" w:rsidR="00CB0AA1" w:rsidRDefault="00CB0AA1" w:rsidP="00CB0AA1">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79535E" w:rsidRDefault="00F458D7" w:rsidP="0079535E">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79535E" w:rsidRDefault="00F458D7" w:rsidP="0079535E">
      <w:pPr>
        <w:tabs>
          <w:tab w:val="left" w:pos="851"/>
          <w:tab w:val="left" w:pos="993"/>
        </w:tabs>
        <w:spacing w:before="120"/>
        <w:ind w:firstLine="709"/>
        <w:jc w:val="both"/>
        <w:rPr>
          <w:i/>
          <w:sz w:val="28"/>
          <w:szCs w:val="28"/>
        </w:rPr>
      </w:pPr>
      <w:r w:rsidRPr="0079535E">
        <w:rPr>
          <w:i/>
          <w:sz w:val="28"/>
          <w:szCs w:val="28"/>
        </w:rPr>
        <w:t>22 0 00 00000 Муниципальная программа «Формирование современной городской среды»</w:t>
      </w:r>
    </w:p>
    <w:p w14:paraId="00A27179" w14:textId="64CE9B70" w:rsidR="004D247E" w:rsidRPr="0079535E" w:rsidRDefault="00F458D7" w:rsidP="0079535E">
      <w:pPr>
        <w:tabs>
          <w:tab w:val="left" w:pos="851"/>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t>бюджета в случае, если</w:t>
      </w:r>
      <w:r>
        <w:rPr>
          <w:sz w:val="28"/>
          <w:szCs w:val="28"/>
        </w:rPr>
        <w:t xml:space="preserve">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t xml:space="preserve">Приложение 3 </w:t>
      </w:r>
    </w:p>
    <w:p w14:paraId="29133C53" w14:textId="1F4CF23B"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7CA716E"/>
    <w:multiLevelType w:val="hybridMultilevel"/>
    <w:tmpl w:val="CCAC5B82"/>
    <w:lvl w:ilvl="0" w:tplc="031A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4"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5"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5"/>
  </w:num>
  <w:num w:numId="4">
    <w:abstractNumId w:val="0"/>
  </w:num>
  <w:num w:numId="5">
    <w:abstractNumId w:val="15"/>
  </w:num>
  <w:num w:numId="6">
    <w:abstractNumId w:val="19"/>
  </w:num>
  <w:num w:numId="7">
    <w:abstractNumId w:val="22"/>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3"/>
  </w:num>
  <w:num w:numId="15">
    <w:abstractNumId w:val="24"/>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1"/>
  </w:num>
  <w:num w:numId="24">
    <w:abstractNumId w:val="11"/>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5B30"/>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4B0"/>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9D8"/>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33B"/>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3D1C"/>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656D"/>
    <w:rsid w:val="008B7ABC"/>
    <w:rsid w:val="008C0A9C"/>
    <w:rsid w:val="008C1FCC"/>
    <w:rsid w:val="008C2D9C"/>
    <w:rsid w:val="008C6B14"/>
    <w:rsid w:val="008C7372"/>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67C45"/>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5DD"/>
    <w:rsid w:val="00A84738"/>
    <w:rsid w:val="00A84B1C"/>
    <w:rsid w:val="00A864B9"/>
    <w:rsid w:val="00A9066B"/>
    <w:rsid w:val="00A91738"/>
    <w:rsid w:val="00A919EC"/>
    <w:rsid w:val="00A91B36"/>
    <w:rsid w:val="00A91D27"/>
    <w:rsid w:val="00A91F72"/>
    <w:rsid w:val="00A95431"/>
    <w:rsid w:val="00A956FD"/>
    <w:rsid w:val="00A961A0"/>
    <w:rsid w:val="00AA1047"/>
    <w:rsid w:val="00AA2DEF"/>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30EB4"/>
    <w:rsid w:val="00D318C8"/>
    <w:rsid w:val="00D353FF"/>
    <w:rsid w:val="00D36638"/>
    <w:rsid w:val="00D41734"/>
    <w:rsid w:val="00D41BD2"/>
    <w:rsid w:val="00D41BF1"/>
    <w:rsid w:val="00D4215B"/>
    <w:rsid w:val="00D42DB2"/>
    <w:rsid w:val="00D437B1"/>
    <w:rsid w:val="00D443D3"/>
    <w:rsid w:val="00D5187A"/>
    <w:rsid w:val="00D52240"/>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0D8E"/>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249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82E"/>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534">
      <w:bodyDiv w:val="1"/>
      <w:marLeft w:val="0"/>
      <w:marRight w:val="0"/>
      <w:marTop w:val="0"/>
      <w:marBottom w:val="0"/>
      <w:divBdr>
        <w:top w:val="none" w:sz="0" w:space="0" w:color="auto"/>
        <w:left w:val="none" w:sz="0" w:space="0" w:color="auto"/>
        <w:bottom w:val="none" w:sz="0" w:space="0" w:color="auto"/>
        <w:right w:val="none" w:sz="0" w:space="0" w:color="auto"/>
      </w:divBdr>
    </w:div>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9213</Words>
  <Characters>52517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61607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Panshina</cp:lastModifiedBy>
  <cp:revision>5</cp:revision>
  <cp:lastPrinted>2024-10-24T12:54:00Z</cp:lastPrinted>
  <dcterms:created xsi:type="dcterms:W3CDTF">2025-02-05T09:11:00Z</dcterms:created>
  <dcterms:modified xsi:type="dcterms:W3CDTF">2025-02-06T07:49:00Z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