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0CBC">
            <w:pP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6C2D1A3B"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sidR="00D40CBC">
        <w:rPr>
          <w:color w:val="FF0000"/>
          <w:sz w:val="28"/>
          <w:szCs w:val="28"/>
        </w:rPr>
        <w:t>, от 26.03.2025 № 03/52р</w:t>
      </w:r>
      <w:r w:rsidR="00F114BB">
        <w:rPr>
          <w:color w:val="FF0000"/>
          <w:sz w:val="28"/>
          <w:szCs w:val="28"/>
        </w:rPr>
        <w:t>, от 31.03.2025 №02/53р</w:t>
      </w:r>
      <w:r w:rsidR="00D95C04">
        <w:rPr>
          <w:color w:val="FF0000"/>
          <w:sz w:val="28"/>
          <w:szCs w:val="28"/>
        </w:rPr>
        <w:t>, от 03.04.2025 №03/55р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lastRenderedPageBreak/>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40E91C4D"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03B54F89" w14:textId="77777777" w:rsidR="0081702B" w:rsidRDefault="0081702B" w:rsidP="0081702B">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13810F3B" w14:textId="23414AD3" w:rsidR="0081702B" w:rsidRDefault="0081702B" w:rsidP="0081702B">
      <w:pPr>
        <w:widowControl/>
        <w:adjustRightInd w:val="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r w:rsidRPr="0081702B">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sz w:val="28"/>
          <w:szCs w:val="28"/>
        </w:rPr>
        <w:t xml:space="preserve"> </w:t>
      </w:r>
    </w:p>
    <w:p w14:paraId="49EF7DAE" w14:textId="593217D5" w:rsidR="0081702B" w:rsidRDefault="0081702B" w:rsidP="0081702B">
      <w:pPr>
        <w:tabs>
          <w:tab w:val="left" w:pos="851"/>
          <w:tab w:val="left" w:pos="993"/>
        </w:tabs>
        <w:spacing w:before="120"/>
        <w:ind w:firstLine="709"/>
        <w:jc w:val="both"/>
        <w:rPr>
          <w:sz w:val="28"/>
          <w:szCs w:val="28"/>
        </w:rPr>
      </w:pP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w:t>
      </w:r>
      <w:r w:rsidR="00E94B39">
        <w:rPr>
          <w:sz w:val="28"/>
          <w:szCs w:val="28"/>
        </w:rPr>
        <w:lastRenderedPageBreak/>
        <w:t xml:space="preserve">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w:t>
      </w:r>
      <w:r>
        <w:rPr>
          <w:b/>
          <w:sz w:val="28"/>
          <w:szCs w:val="28"/>
        </w:rPr>
        <w:lastRenderedPageBreak/>
        <w:t xml:space="preserve">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 xml:space="preserve">80550 Мероприятия в сфере социальной политики, осуществляемые </w:t>
      </w:r>
      <w:r>
        <w:rPr>
          <w:sz w:val="28"/>
          <w:szCs w:val="28"/>
        </w:rPr>
        <w:lastRenderedPageBreak/>
        <w:t>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 xml:space="preserve">По данному направлению расходов отражаются расходы местного бюджета, связанные с реализацией мероприятий по обеспечению жильем </w:t>
      </w:r>
      <w:r w:rsidRPr="00A76739">
        <w:rPr>
          <w:sz w:val="28"/>
          <w:szCs w:val="28"/>
        </w:rPr>
        <w:lastRenderedPageBreak/>
        <w:t>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lastRenderedPageBreak/>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lastRenderedPageBreak/>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23203D6" w14:textId="1F863F31" w:rsidR="00D95C04" w:rsidRPr="00D95C04" w:rsidRDefault="00CB0AA1" w:rsidP="00D95C04">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4624761" w14:textId="3B331289" w:rsidR="00D95C04" w:rsidRPr="00D95C04" w:rsidRDefault="00D95C04" w:rsidP="00D95C04">
      <w:pPr>
        <w:tabs>
          <w:tab w:val="left" w:pos="851"/>
          <w:tab w:val="left" w:pos="993"/>
        </w:tabs>
        <w:spacing w:before="120"/>
        <w:ind w:firstLine="709"/>
        <w:jc w:val="center"/>
        <w:rPr>
          <w:i/>
          <w:sz w:val="28"/>
          <w:szCs w:val="28"/>
        </w:rPr>
      </w:pPr>
      <w:r w:rsidRPr="00D95C04">
        <w:rPr>
          <w:i/>
          <w:sz w:val="28"/>
          <w:szCs w:val="28"/>
        </w:rPr>
        <w:t>«2</w:t>
      </w:r>
      <w:r w:rsidR="008D05AE" w:rsidRPr="008D05AE">
        <w:rPr>
          <w:i/>
          <w:sz w:val="28"/>
          <w:szCs w:val="28"/>
        </w:rPr>
        <w:t>0</w:t>
      </w:r>
      <w:r w:rsidRPr="00D95C04">
        <w:rPr>
          <w:i/>
          <w:sz w:val="28"/>
          <w:szCs w:val="28"/>
        </w:rPr>
        <w:t xml:space="preserve"> 0 И5 00000 Федеральный проект «Безопасность дорожного движения»</w:t>
      </w:r>
    </w:p>
    <w:p w14:paraId="06BAD278" w14:textId="7C32FB89"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данной целевой статье отражаются расходы бюджета в рамках федерального проекта «Безопасность дорожного движения» национального проекта «Безопасные качественные  дороги» по соответствующим видам расходов, в том числе:</w:t>
      </w:r>
    </w:p>
    <w:p w14:paraId="654FCB93" w14:textId="4AE8B493"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–SД810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EEAF459" w14:textId="6F708C37"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EAF1D56" w14:textId="77777777" w:rsidR="00D95C04" w:rsidRDefault="00D95C04" w:rsidP="00CB0AA1">
      <w:pPr>
        <w:tabs>
          <w:tab w:val="left" w:pos="709"/>
          <w:tab w:val="left" w:pos="993"/>
        </w:tabs>
        <w:spacing w:before="120"/>
        <w:ind w:firstLine="709"/>
        <w:jc w:val="both"/>
        <w:rPr>
          <w:color w:val="000000" w:themeColor="text1"/>
          <w:sz w:val="28"/>
          <w:szCs w:val="28"/>
        </w:rPr>
      </w:pP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По данному направлению расходов отражаются расходы местного </w:t>
      </w:r>
      <w:r w:rsidRPr="0079535E">
        <w:rPr>
          <w:sz w:val="28"/>
          <w:szCs w:val="28"/>
        </w:rPr>
        <w:lastRenderedPageBreak/>
        <w:t>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w:t>
      </w:r>
      <w:r w:rsidRPr="009D5E6B">
        <w:rPr>
          <w:sz w:val="28"/>
          <w:szCs w:val="28"/>
        </w:rPr>
        <w:lastRenderedPageBreak/>
        <w:t>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Л Реализация инициативных проектов в рамках регионального </w:t>
      </w:r>
      <w:r w:rsidRPr="009D5E6B">
        <w:rPr>
          <w:sz w:val="28"/>
          <w:szCs w:val="28"/>
        </w:rPr>
        <w:lastRenderedPageBreak/>
        <w:t>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lastRenderedPageBreak/>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0D5C9349"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79179FF6" w14:textId="77777777" w:rsidR="00D40CBC" w:rsidRPr="00B82E81" w:rsidRDefault="00D40CBC" w:rsidP="00D40CBC">
      <w:pPr>
        <w:ind w:firstLine="709"/>
        <w:jc w:val="both"/>
        <w:rPr>
          <w:color w:val="000000"/>
          <w:sz w:val="27"/>
          <w:szCs w:val="27"/>
        </w:rPr>
      </w:pPr>
      <w:r w:rsidRPr="00B82E81">
        <w:rPr>
          <w:sz w:val="27"/>
          <w:szCs w:val="27"/>
        </w:rPr>
        <w:t>«–80</w:t>
      </w:r>
      <w:r>
        <w:rPr>
          <w:sz w:val="27"/>
          <w:szCs w:val="27"/>
        </w:rPr>
        <w:t>20Ц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1A608958" w14:textId="77777777" w:rsidR="00D40CBC" w:rsidRPr="00B82E81" w:rsidRDefault="00D40CBC" w:rsidP="00D40CBC">
      <w:pPr>
        <w:pStyle w:val="af0"/>
        <w:tabs>
          <w:tab w:val="left" w:pos="567"/>
        </w:tabs>
        <w:ind w:left="0"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w:t>
      </w:r>
      <w:r w:rsidRPr="00042730">
        <w:rPr>
          <w:sz w:val="27"/>
          <w:szCs w:val="27"/>
        </w:rPr>
        <w:t xml:space="preserve">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889А Реализация инициативных проектов в рамках регионального проекта «Комфортное Поморье» («Комфортный дом – залог успеха» (ремонт 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S889Ж Реализация инициативных проектов в рамках регионального проекта «Комфортное Поморье» (Арт-объект КОРЯЖМА на въезде в город ул. Глейха).</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Глейха);</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S889К Реализация инициативных проектов в рамках регионального проекта «Комфортное Поморье» («Уютный двор – это здОрово и здорОво!»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здОрово и здорОво!»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 xml:space="preserve">889П Реализация инициативных проектов в рамках регионального </w:t>
      </w:r>
      <w:r w:rsidRPr="00425A65">
        <w:rPr>
          <w:sz w:val="28"/>
          <w:szCs w:val="28"/>
        </w:rPr>
        <w:lastRenderedPageBreak/>
        <w:t>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889С Реализация инициативных проектов в рамках регионального 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(«С заботой о 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889У Реализация инициативных проектов в рамках регионального проекта «Комфортное Поморье» («Чистая улица» на территории пр. им. М.В. 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252E58B3" w:rsidR="00AA7436" w:rsidRDefault="00AA7436" w:rsidP="00AA7436">
      <w:pPr>
        <w:pStyle w:val="af0"/>
        <w:tabs>
          <w:tab w:val="left" w:pos="567"/>
        </w:tabs>
        <w:spacing w:before="120"/>
        <w:ind w:left="0" w:firstLine="709"/>
        <w:jc w:val="both"/>
        <w:rPr>
          <w:sz w:val="28"/>
          <w:szCs w:val="28"/>
        </w:rPr>
      </w:pPr>
      <w:r w:rsidRPr="00AA7436">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w:t>
      </w:r>
      <w:r w:rsidRPr="00AA7436">
        <w:rPr>
          <w:sz w:val="28"/>
          <w:szCs w:val="28"/>
        </w:rPr>
        <w:lastRenderedPageBreak/>
        <w:t>(нераспределенный остаток средств)</w:t>
      </w:r>
      <w:r w:rsidR="00D40CBC">
        <w:rPr>
          <w:sz w:val="28"/>
          <w:szCs w:val="28"/>
        </w:rPr>
        <w:t>;</w:t>
      </w:r>
    </w:p>
    <w:p w14:paraId="67F43E70" w14:textId="77777777" w:rsidR="00D40CBC" w:rsidRPr="00B82E81" w:rsidRDefault="00D40CBC" w:rsidP="00D40CBC">
      <w:pPr>
        <w:ind w:firstLine="709"/>
        <w:jc w:val="both"/>
        <w:rPr>
          <w:sz w:val="27"/>
          <w:szCs w:val="27"/>
        </w:rPr>
      </w:pPr>
      <w:r w:rsidRPr="00B82E81">
        <w:rPr>
          <w:sz w:val="27"/>
          <w:szCs w:val="27"/>
        </w:rPr>
        <w:t xml:space="preserve">– </w:t>
      </w:r>
      <w:r>
        <w:rPr>
          <w:sz w:val="27"/>
          <w:szCs w:val="27"/>
          <w:lang w:val="en-US"/>
        </w:rPr>
        <w:t>S</w:t>
      </w:r>
      <w:r w:rsidRPr="00586678">
        <w:rPr>
          <w:sz w:val="27"/>
          <w:szCs w:val="27"/>
        </w:rPr>
        <w:t>889</w:t>
      </w:r>
      <w:r>
        <w:rPr>
          <w:sz w:val="27"/>
          <w:szCs w:val="27"/>
        </w:rPr>
        <w:t>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200C3352" w14:textId="77777777" w:rsidR="00D40CBC" w:rsidRPr="00B82E81" w:rsidRDefault="00D40CBC" w:rsidP="00D40CBC">
      <w:pPr>
        <w:ind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w:t>
      </w:r>
      <w:r>
        <w:rPr>
          <w:sz w:val="27"/>
          <w:szCs w:val="27"/>
        </w:rPr>
        <w:t>областного</w:t>
      </w:r>
      <w:r w:rsidRPr="00B82E81">
        <w:rPr>
          <w:sz w:val="27"/>
          <w:szCs w:val="27"/>
        </w:rPr>
        <w:t xml:space="preserve"> бюджета </w:t>
      </w:r>
      <w:r w:rsidRPr="00042730">
        <w:rPr>
          <w:sz w:val="27"/>
          <w:szCs w:val="27"/>
        </w:rPr>
        <w:t xml:space="preserve">(Флагманский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lastRenderedPageBreak/>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обеспечение деятельности городской Думы городского округа Архангельской </w:t>
      </w:r>
      <w:r>
        <w:rPr>
          <w:sz w:val="28"/>
          <w:szCs w:val="28"/>
        </w:rPr>
        <w:lastRenderedPageBreak/>
        <w:t>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w:t>
      </w:r>
      <w:r>
        <w:rPr>
          <w:sz w:val="28"/>
          <w:szCs w:val="28"/>
        </w:rPr>
        <w:lastRenderedPageBreak/>
        <w:t>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lastRenderedPageBreak/>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w:t>
      </w:r>
      <w:r>
        <w:rPr>
          <w:sz w:val="28"/>
          <w:szCs w:val="28"/>
        </w:rPr>
        <w:lastRenderedPageBreak/>
        <w:t>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Расходы на реализацию мероприятий по созданию, развитию, модернизации, эксплуатации информационных систем и информационно-</w:t>
      </w:r>
      <w:r>
        <w:rPr>
          <w:sz w:val="28"/>
          <w:szCs w:val="28"/>
        </w:rPr>
        <w:lastRenderedPageBreak/>
        <w:t xml:space="preserve">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4C38"/>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18E"/>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6B5D"/>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02B"/>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05AE"/>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195"/>
    <w:rsid w:val="00D30EB4"/>
    <w:rsid w:val="00D318C8"/>
    <w:rsid w:val="00D353FF"/>
    <w:rsid w:val="00D36638"/>
    <w:rsid w:val="00D40CBC"/>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95C04"/>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14BB"/>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9274</Words>
  <Characters>69180</Characters>
  <Application>Microsoft Office Word</Application>
  <DocSecurity>0</DocSecurity>
  <Lines>576</Lines>
  <Paragraphs>156</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4</cp:revision>
  <cp:lastPrinted>2024-10-24T12:54:00Z</cp:lastPrinted>
  <dcterms:created xsi:type="dcterms:W3CDTF">2025-04-03T06:49:00Z</dcterms:created>
  <dcterms:modified xsi:type="dcterms:W3CDTF">2025-04-04T05:30:00Z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