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A12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179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B12" w:rsidRPr="00F66863">
              <w:rPr>
                <w:sz w:val="28"/>
                <w:szCs w:val="28"/>
              </w:rPr>
              <w:t>.2023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BF5F88" w:rsidP="0031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  <w:r w:rsidR="00A127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A12729">
              <w:rPr>
                <w:sz w:val="28"/>
                <w:szCs w:val="28"/>
              </w:rPr>
              <w:t>156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DE4FB2" w:rsidRPr="00F66863" w:rsidRDefault="00DE4FB2">
      <w:pPr>
        <w:jc w:val="both"/>
        <w:rPr>
          <w:sz w:val="28"/>
          <w:szCs w:val="28"/>
        </w:rPr>
      </w:pPr>
    </w:p>
    <w:p w:rsidR="00F66863" w:rsidRPr="008B5460" w:rsidRDefault="00F66863" w:rsidP="00EF2F4D">
      <w:pPr>
        <w:widowControl/>
        <w:adjustRightInd w:val="0"/>
        <w:ind w:firstLineChars="262" w:firstLine="707"/>
        <w:jc w:val="both"/>
        <w:rPr>
          <w:sz w:val="27"/>
          <w:szCs w:val="27"/>
        </w:rPr>
      </w:pPr>
      <w:proofErr w:type="gramStart"/>
      <w:r w:rsidRPr="008B5460">
        <w:rPr>
          <w:sz w:val="27"/>
          <w:szCs w:val="27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</w:t>
      </w:r>
      <w:proofErr w:type="gramEnd"/>
      <w:r w:rsidRPr="008B5460">
        <w:rPr>
          <w:sz w:val="27"/>
          <w:szCs w:val="27"/>
        </w:rPr>
        <w:t xml:space="preserve"> городской Думы от 24.09.2020 № 218),  </w:t>
      </w:r>
    </w:p>
    <w:p w:rsidR="00F66863" w:rsidRPr="008B5460" w:rsidRDefault="00F66863" w:rsidP="00EF2F4D">
      <w:pPr>
        <w:ind w:firstLineChars="262" w:firstLine="707"/>
        <w:jc w:val="both"/>
        <w:rPr>
          <w:sz w:val="27"/>
          <w:szCs w:val="27"/>
        </w:rPr>
      </w:pPr>
      <w:r w:rsidRPr="008B5460">
        <w:rPr>
          <w:sz w:val="27"/>
          <w:szCs w:val="27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</w:t>
      </w:r>
      <w:r w:rsidR="00BF5F88" w:rsidRPr="008B5460">
        <w:rPr>
          <w:sz w:val="27"/>
          <w:szCs w:val="27"/>
        </w:rPr>
        <w:t>2</w:t>
      </w:r>
      <w:r w:rsidR="003739F4">
        <w:rPr>
          <w:sz w:val="27"/>
          <w:szCs w:val="27"/>
        </w:rPr>
        <w:t>8.09.2023 № 02</w:t>
      </w:r>
      <w:r w:rsidRPr="008B5460">
        <w:rPr>
          <w:sz w:val="27"/>
          <w:szCs w:val="27"/>
        </w:rPr>
        <w:t>/1</w:t>
      </w:r>
      <w:r w:rsidR="003739F4">
        <w:rPr>
          <w:sz w:val="27"/>
          <w:szCs w:val="27"/>
        </w:rPr>
        <w:t>41/1</w:t>
      </w:r>
      <w:r w:rsidRPr="008B5460">
        <w:rPr>
          <w:sz w:val="27"/>
          <w:szCs w:val="27"/>
        </w:rPr>
        <w:t>р) следующие изменения:</w:t>
      </w:r>
    </w:p>
    <w:p w:rsidR="003A5EEC" w:rsidRDefault="003739F4" w:rsidP="00EF2F4D">
      <w:pPr>
        <w:pStyle w:val="aa"/>
        <w:numPr>
          <w:ilvl w:val="0"/>
          <w:numId w:val="2"/>
        </w:numPr>
        <w:ind w:left="0" w:firstLineChars="262" w:firstLine="7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приложении 2 по тексту Указаний о порядке </w:t>
      </w:r>
      <w:proofErr w:type="gramStart"/>
      <w:r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>
        <w:rPr>
          <w:sz w:val="27"/>
          <w:szCs w:val="27"/>
        </w:rPr>
        <w:t xml:space="preserve"> области «Город Коряжма» слова «ведомственн</w:t>
      </w:r>
      <w:r w:rsidR="00B14175">
        <w:rPr>
          <w:sz w:val="27"/>
          <w:szCs w:val="27"/>
        </w:rPr>
        <w:t>ая</w:t>
      </w:r>
      <w:r>
        <w:rPr>
          <w:sz w:val="27"/>
          <w:szCs w:val="27"/>
        </w:rPr>
        <w:t xml:space="preserve"> целев</w:t>
      </w:r>
      <w:r w:rsidR="00B14175">
        <w:rPr>
          <w:sz w:val="27"/>
          <w:szCs w:val="27"/>
        </w:rPr>
        <w:t>ая</w:t>
      </w:r>
      <w:r>
        <w:rPr>
          <w:sz w:val="27"/>
          <w:szCs w:val="27"/>
        </w:rPr>
        <w:t xml:space="preserve"> программ</w:t>
      </w:r>
      <w:r w:rsidR="00B14175">
        <w:rPr>
          <w:sz w:val="27"/>
          <w:szCs w:val="27"/>
        </w:rPr>
        <w:t>а</w:t>
      </w:r>
      <w:r>
        <w:rPr>
          <w:sz w:val="27"/>
          <w:szCs w:val="27"/>
        </w:rPr>
        <w:t>» в соответствующем числе и падеже исключить;</w:t>
      </w:r>
    </w:p>
    <w:p w:rsidR="003A5EEC" w:rsidRDefault="00B14175" w:rsidP="00EF2F4D">
      <w:pPr>
        <w:pStyle w:val="aa"/>
        <w:numPr>
          <w:ilvl w:val="0"/>
          <w:numId w:val="2"/>
        </w:numPr>
        <w:ind w:left="0" w:firstLineChars="262" w:firstLine="707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3A5EEC" w:rsidRPr="003A5EEC">
        <w:rPr>
          <w:sz w:val="27"/>
          <w:szCs w:val="27"/>
        </w:rPr>
        <w:t>риложени</w:t>
      </w:r>
      <w:r>
        <w:rPr>
          <w:sz w:val="27"/>
          <w:szCs w:val="27"/>
        </w:rPr>
        <w:t>е</w:t>
      </w:r>
      <w:r w:rsidR="003A5EEC" w:rsidRPr="003A5EEC">
        <w:rPr>
          <w:sz w:val="27"/>
          <w:szCs w:val="27"/>
        </w:rPr>
        <w:t xml:space="preserve"> 3 </w:t>
      </w:r>
      <w:r>
        <w:rPr>
          <w:sz w:val="27"/>
          <w:szCs w:val="27"/>
        </w:rPr>
        <w:t>изложить в следующей редакции:</w:t>
      </w:r>
    </w:p>
    <w:p w:rsidR="00EF2F4D" w:rsidRPr="00EF2F4D" w:rsidRDefault="00EF2F4D" w:rsidP="00EF2F4D">
      <w:pPr>
        <w:pStyle w:val="aa"/>
        <w:adjustRightInd w:val="0"/>
        <w:ind w:left="1043"/>
        <w:jc w:val="right"/>
        <w:rPr>
          <w:sz w:val="28"/>
          <w:szCs w:val="28"/>
        </w:rPr>
      </w:pPr>
      <w:r w:rsidRPr="00EF2F4D">
        <w:rPr>
          <w:sz w:val="28"/>
          <w:szCs w:val="28"/>
        </w:rPr>
        <w:t xml:space="preserve">«Приложение 3 </w:t>
      </w:r>
    </w:p>
    <w:p w:rsidR="00EF2F4D" w:rsidRPr="00EF2F4D" w:rsidRDefault="00EF2F4D" w:rsidP="00EF2F4D">
      <w:pPr>
        <w:pStyle w:val="aa"/>
        <w:adjustRightInd w:val="0"/>
        <w:ind w:left="1043"/>
        <w:jc w:val="right"/>
        <w:rPr>
          <w:sz w:val="28"/>
          <w:szCs w:val="28"/>
        </w:rPr>
      </w:pPr>
      <w:r w:rsidRPr="00EF2F4D">
        <w:rPr>
          <w:sz w:val="28"/>
          <w:szCs w:val="28"/>
        </w:rPr>
        <w:t>к распоряжению финансового управления от 31.10.2022 № 02/133р</w:t>
      </w:r>
    </w:p>
    <w:p w:rsidR="00EF2F4D" w:rsidRPr="00EF2F4D" w:rsidRDefault="00EF2F4D" w:rsidP="00EF2F4D">
      <w:pPr>
        <w:pStyle w:val="aa"/>
        <w:tabs>
          <w:tab w:val="left" w:pos="851"/>
        </w:tabs>
        <w:ind w:left="1043"/>
        <w:outlineLvl w:val="0"/>
        <w:rPr>
          <w:sz w:val="28"/>
          <w:szCs w:val="28"/>
        </w:rPr>
      </w:pPr>
    </w:p>
    <w:p w:rsidR="00EF2F4D" w:rsidRPr="00EF2F4D" w:rsidRDefault="00EF2F4D" w:rsidP="00EF2F4D">
      <w:pPr>
        <w:pStyle w:val="aa"/>
        <w:tabs>
          <w:tab w:val="left" w:pos="851"/>
        </w:tabs>
        <w:ind w:left="0"/>
        <w:jc w:val="center"/>
        <w:outlineLvl w:val="0"/>
        <w:rPr>
          <w:sz w:val="28"/>
          <w:szCs w:val="28"/>
        </w:rPr>
      </w:pPr>
      <w:r w:rsidRPr="00EF2F4D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EF2F4D">
        <w:rPr>
          <w:sz w:val="28"/>
          <w:szCs w:val="28"/>
        </w:rPr>
        <w:t>администраторами</w:t>
      </w:r>
      <w:proofErr w:type="gramEnd"/>
      <w:r w:rsidRPr="00EF2F4D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tbl>
      <w:tblPr>
        <w:tblW w:w="9796" w:type="dxa"/>
        <w:tblInd w:w="93" w:type="dxa"/>
        <w:tblLook w:val="04A0"/>
      </w:tblPr>
      <w:tblGrid>
        <w:gridCol w:w="3417"/>
        <w:gridCol w:w="6379"/>
      </w:tblGrid>
      <w:tr w:rsidR="00EF2F4D" w:rsidTr="00EF2F4D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F2F4D" w:rsidTr="00EF2F4D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EF2F4D" w:rsidTr="00EF2F4D">
        <w:trPr>
          <w:trHeight w:val="5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EF2F4D" w:rsidTr="00EF2F4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EF2F4D" w:rsidTr="00EF2F4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000 01 03 01 00 04 2100 710</w:t>
            </w:r>
          </w:p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</w:t>
            </w:r>
          </w:p>
        </w:tc>
      </w:tr>
      <w:tr w:rsidR="00EF2F4D" w:rsidTr="00EF2F4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000 01 03 01 00 04 2900 710</w:t>
            </w:r>
          </w:p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P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proofErr w:type="gramEnd"/>
          </w:p>
        </w:tc>
      </w:tr>
      <w:tr w:rsidR="00EF2F4D" w:rsidTr="00EF2F4D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EF2F4D" w:rsidTr="00EF2F4D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P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000 01 03 01 00 04 2100 810</w:t>
            </w:r>
          </w:p>
          <w:p w:rsidR="00EF2F4D" w:rsidRP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P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 на пополнение остатка средств на едином счете бюджета)</w:t>
            </w:r>
          </w:p>
        </w:tc>
      </w:tr>
      <w:tr w:rsidR="00EF2F4D" w:rsidTr="00EF2F4D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P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000 01 03 01 00 04 2900 810</w:t>
            </w:r>
          </w:p>
          <w:p w:rsidR="00EF2F4D" w:rsidRP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P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proofErr w:type="gramEnd"/>
          </w:p>
        </w:tc>
      </w:tr>
      <w:tr w:rsidR="00EF2F4D" w:rsidTr="00EF2F4D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EF2F4D" w:rsidTr="00EF2F4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EF2F4D" w:rsidTr="00EF2F4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EF2F4D" w:rsidTr="00EF2F4D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000 01 06 10 02 04 0001 550</w:t>
            </w:r>
          </w:p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EF2F4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 </w:t>
            </w:r>
          </w:p>
        </w:tc>
      </w:tr>
      <w:tr w:rsidR="00EF2F4D" w:rsidTr="00EF2F4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000 01 06 10 02 04 0002 550</w:t>
            </w:r>
          </w:p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EF2F4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 </w:t>
            </w:r>
          </w:p>
        </w:tc>
      </w:tr>
      <w:tr w:rsidR="00EF2F4D" w:rsidTr="00EF2F4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000 01 06 10 02 04 0004 550</w:t>
            </w:r>
          </w:p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EF2F4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</w:t>
            </w:r>
          </w:p>
        </w:tc>
      </w:tr>
      <w:tr w:rsidR="00EF2F4D" w:rsidTr="00EF2F4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000 01 06 10 02 04 0005 550</w:t>
            </w:r>
          </w:p>
          <w:p w:rsidR="00EF2F4D" w:rsidRDefault="00EF2F4D" w:rsidP="00651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4D" w:rsidRDefault="00EF2F4D" w:rsidP="00EF2F4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 </w:t>
            </w:r>
          </w:p>
        </w:tc>
      </w:tr>
    </w:tbl>
    <w:p w:rsidR="00867419" w:rsidRPr="00867419" w:rsidRDefault="00867419" w:rsidP="00867419">
      <w:pPr>
        <w:ind w:left="683"/>
        <w:jc w:val="both"/>
        <w:rPr>
          <w:sz w:val="27"/>
          <w:szCs w:val="27"/>
        </w:rPr>
      </w:pPr>
    </w:p>
    <w:p w:rsidR="00B14175" w:rsidRPr="00867419" w:rsidRDefault="00B14175" w:rsidP="00867419">
      <w:pPr>
        <w:pStyle w:val="aa"/>
        <w:numPr>
          <w:ilvl w:val="0"/>
          <w:numId w:val="2"/>
        </w:numPr>
        <w:ind w:left="0" w:firstLine="683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распоряжение вступает в силу с 1 января 2024 года</w:t>
      </w:r>
      <w:r w:rsidR="00867419">
        <w:rPr>
          <w:sz w:val="27"/>
          <w:szCs w:val="27"/>
        </w:rPr>
        <w:t xml:space="preserve"> и </w:t>
      </w:r>
      <w:r w:rsidRPr="00867419">
        <w:rPr>
          <w:sz w:val="27"/>
          <w:szCs w:val="27"/>
        </w:rPr>
        <w:t>применя</w:t>
      </w:r>
      <w:r w:rsidR="00867419">
        <w:rPr>
          <w:sz w:val="27"/>
          <w:szCs w:val="27"/>
        </w:rPr>
        <w:t>е</w:t>
      </w:r>
      <w:r w:rsidRPr="00867419">
        <w:rPr>
          <w:sz w:val="27"/>
          <w:szCs w:val="27"/>
        </w:rPr>
        <w:t>тся к правоотношениям, возникающим при составлении и исполнении бюджета городского округа Архангельской области «Город Коряжма», начиная с бюджета на 2024 год и на плановый период 2025 и 2026 годов.</w:t>
      </w:r>
    </w:p>
    <w:p w:rsidR="005475A6" w:rsidRPr="008B5460" w:rsidRDefault="005475A6">
      <w:pPr>
        <w:ind w:firstLine="709"/>
        <w:jc w:val="both"/>
        <w:rPr>
          <w:sz w:val="27"/>
          <w:szCs w:val="27"/>
        </w:rPr>
      </w:pPr>
    </w:p>
    <w:p w:rsidR="005F786F" w:rsidRDefault="005F786F">
      <w:pPr>
        <w:ind w:firstLine="709"/>
        <w:jc w:val="both"/>
        <w:rPr>
          <w:sz w:val="27"/>
          <w:szCs w:val="27"/>
        </w:rPr>
      </w:pPr>
    </w:p>
    <w:p w:rsidR="00A62CA0" w:rsidRPr="008B5460" w:rsidRDefault="00A62CA0">
      <w:pPr>
        <w:ind w:firstLine="709"/>
        <w:jc w:val="both"/>
        <w:rPr>
          <w:sz w:val="27"/>
          <w:szCs w:val="27"/>
        </w:rPr>
      </w:pPr>
    </w:p>
    <w:p w:rsidR="005475A6" w:rsidRPr="008B5460" w:rsidRDefault="005475A6" w:rsidP="005475A6">
      <w:pPr>
        <w:pStyle w:val="20"/>
        <w:ind w:firstLine="0"/>
        <w:rPr>
          <w:b w:val="0"/>
          <w:sz w:val="27"/>
          <w:szCs w:val="27"/>
        </w:rPr>
      </w:pPr>
      <w:r w:rsidRPr="008B5460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:rsidR="005475A6" w:rsidRPr="008B5460" w:rsidRDefault="005475A6" w:rsidP="005475A6">
      <w:pPr>
        <w:pStyle w:val="20"/>
        <w:ind w:firstLine="0"/>
        <w:rPr>
          <w:b w:val="0"/>
          <w:sz w:val="27"/>
          <w:szCs w:val="27"/>
        </w:rPr>
      </w:pPr>
      <w:r w:rsidRPr="008B5460">
        <w:rPr>
          <w:b w:val="0"/>
          <w:sz w:val="27"/>
          <w:szCs w:val="27"/>
        </w:rPr>
        <w:t xml:space="preserve">по экономическому развитию и финансам, </w:t>
      </w:r>
    </w:p>
    <w:p w:rsidR="005475A6" w:rsidRPr="00F66863" w:rsidRDefault="005475A6" w:rsidP="005475A6">
      <w:pPr>
        <w:pStyle w:val="20"/>
        <w:ind w:firstLine="0"/>
      </w:pPr>
      <w:r w:rsidRPr="008B5460">
        <w:rPr>
          <w:b w:val="0"/>
          <w:sz w:val="27"/>
          <w:szCs w:val="27"/>
        </w:rPr>
        <w:t xml:space="preserve">начальник финансового управления                                            </w:t>
      </w:r>
      <w:r w:rsidR="00E34EE4">
        <w:rPr>
          <w:b w:val="0"/>
          <w:sz w:val="27"/>
          <w:szCs w:val="27"/>
        </w:rPr>
        <w:t xml:space="preserve">      </w:t>
      </w:r>
      <w:r w:rsidRPr="008B5460">
        <w:rPr>
          <w:b w:val="0"/>
          <w:sz w:val="27"/>
          <w:szCs w:val="27"/>
        </w:rPr>
        <w:t xml:space="preserve">   </w:t>
      </w:r>
      <w:r w:rsidR="00F66863" w:rsidRPr="008B5460">
        <w:rPr>
          <w:b w:val="0"/>
          <w:sz w:val="27"/>
          <w:szCs w:val="27"/>
        </w:rPr>
        <w:t xml:space="preserve"> </w:t>
      </w:r>
      <w:r w:rsidRPr="008B5460">
        <w:rPr>
          <w:b w:val="0"/>
          <w:sz w:val="27"/>
          <w:szCs w:val="27"/>
        </w:rPr>
        <w:t xml:space="preserve"> Г. В. Лахтионов</w:t>
      </w:r>
    </w:p>
    <w:sectPr w:rsidR="005475A6" w:rsidRPr="00F66863" w:rsidSect="008B5460">
      <w:pgSz w:w="11907" w:h="16840"/>
      <w:pgMar w:top="426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BA"/>
    <w:multiLevelType w:val="multilevel"/>
    <w:tmpl w:val="7EA87ED8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5" w:hanging="2160"/>
      </w:pPr>
      <w:rPr>
        <w:rFonts w:hint="default"/>
      </w:rPr>
    </w:lvl>
  </w:abstractNum>
  <w:abstractNum w:abstractNumId="1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57665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9AB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39F4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5EEC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16CA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2121A"/>
    <w:rsid w:val="00532C29"/>
    <w:rsid w:val="00532CEB"/>
    <w:rsid w:val="00534787"/>
    <w:rsid w:val="00535D10"/>
    <w:rsid w:val="005475A6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1442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6741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5460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12729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2CA0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175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3D8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E77FC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15B5"/>
    <w:rsid w:val="00DE4FB2"/>
    <w:rsid w:val="00DF2AFF"/>
    <w:rsid w:val="00DF400B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34EE4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F3C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2F4D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D368-0C2D-4975-9978-E2ECE482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835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2023-11-01T07:31:00Z</cp:lastPrinted>
  <dcterms:created xsi:type="dcterms:W3CDTF">2023-11-01T06:48:00Z</dcterms:created>
  <dcterms:modified xsi:type="dcterms:W3CDTF">2023-11-01T12:15:00Z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