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0000440 – сумма платежа, пени, проценты, денежные взыскания (штрафы) </w:t>
      </w:r>
      <w:r w:rsidRPr="008F481E">
        <w:rPr>
          <w:sz w:val="28"/>
          <w:szCs w:val="28"/>
        </w:rPr>
        <w:lastRenderedPageBreak/>
        <w:t>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Pr="0017276F">
        <w:rPr>
          <w:sz w:val="28"/>
          <w:szCs w:val="28"/>
        </w:rPr>
        <w:lastRenderedPageBreak/>
        <w:t xml:space="preserve">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2921DA">
        <w:rPr>
          <w:sz w:val="28"/>
          <w:szCs w:val="28"/>
        </w:rPr>
        <w:lastRenderedPageBreak/>
        <w:t>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муниципальных программ поддержки социально ориентированных </w:t>
      </w:r>
      <w:r w:rsidR="00905043" w:rsidRPr="00905043">
        <w:rPr>
          <w:sz w:val="28"/>
          <w:szCs w:val="28"/>
        </w:rPr>
        <w:lastRenderedPageBreak/>
        <w:t>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Муниципальная программа «Развитие образования в городе </w:t>
      </w:r>
      <w:r w:rsidRPr="002F012F">
        <w:rPr>
          <w:i/>
          <w:sz w:val="28"/>
          <w:szCs w:val="28"/>
        </w:rPr>
        <w:lastRenderedPageBreak/>
        <w:t>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Pr="005B5A13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CA5D1F" w:rsidRPr="005B5A13">
        <w:rPr>
          <w:sz w:val="28"/>
          <w:szCs w:val="28"/>
        </w:rPr>
        <w:t>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B5A13">
        <w:rPr>
          <w:sz w:val="28"/>
          <w:szCs w:val="28"/>
        </w:rPr>
        <w:lastRenderedPageBreak/>
        <w:t xml:space="preserve">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lastRenderedPageBreak/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lastRenderedPageBreak/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расходов.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lastRenderedPageBreak/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lastRenderedPageBreak/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P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0F0FEB" w:rsidRDefault="00F51B44" w:rsidP="000F0FEB">
      <w:pPr>
        <w:ind w:firstLine="426"/>
        <w:jc w:val="both"/>
        <w:rPr>
          <w:color w:val="FF0000"/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«Формирование современной городской среды </w:t>
      </w:r>
      <w:r w:rsidRPr="003B0C26">
        <w:rPr>
          <w:sz w:val="28"/>
          <w:szCs w:val="28"/>
        </w:rPr>
        <w:lastRenderedPageBreak/>
        <w:t>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Pr="00814FD7">
        <w:rPr>
          <w:sz w:val="28"/>
          <w:szCs w:val="28"/>
        </w:rPr>
        <w:lastRenderedPageBreak/>
        <w:t xml:space="preserve">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</w:t>
      </w:r>
      <w:r w:rsidRPr="003B0C26">
        <w:rPr>
          <w:sz w:val="28"/>
          <w:szCs w:val="28"/>
        </w:rPr>
        <w:lastRenderedPageBreak/>
        <w:t>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на осуществление </w:t>
      </w:r>
      <w:r w:rsidRPr="00E652D0">
        <w:rPr>
          <w:sz w:val="28"/>
          <w:szCs w:val="28"/>
        </w:rPr>
        <w:lastRenderedPageBreak/>
        <w:t>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</w:t>
      </w:r>
      <w:r w:rsidRPr="001E68C7">
        <w:rPr>
          <w:sz w:val="28"/>
          <w:szCs w:val="28"/>
        </w:rPr>
        <w:lastRenderedPageBreak/>
        <w:t>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прочие расходы бюджета в </w:t>
      </w:r>
      <w:r w:rsidRPr="001E68C7">
        <w:rPr>
          <w:sz w:val="28"/>
          <w:szCs w:val="28"/>
        </w:rPr>
        <w:lastRenderedPageBreak/>
        <w:t>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 xml:space="preserve">муниципальной программы, ведомственной целевой </w:t>
      </w:r>
      <w:r w:rsidRPr="001E68C7">
        <w:rPr>
          <w:sz w:val="28"/>
          <w:szCs w:val="28"/>
        </w:rPr>
        <w:lastRenderedPageBreak/>
        <w:t>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826455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826455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826455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15" w:rsidRDefault="00242615">
      <w:r>
        <w:separator/>
      </w:r>
    </w:p>
  </w:endnote>
  <w:endnote w:type="continuationSeparator" w:id="1">
    <w:p w:rsidR="00242615" w:rsidRDefault="002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7F013B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7F013B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785">
      <w:rPr>
        <w:rStyle w:val="a7"/>
        <w:noProof/>
      </w:rPr>
      <w:t>10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15" w:rsidRDefault="00242615">
      <w:r>
        <w:separator/>
      </w:r>
    </w:p>
  </w:footnote>
  <w:footnote w:type="continuationSeparator" w:id="1">
    <w:p w:rsidR="00242615" w:rsidRDefault="0024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8460C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7A66-7E07-4FCC-ADCB-589B974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7056</Words>
  <Characters>52602</Characters>
  <Application>Microsoft Office Word</Application>
  <DocSecurity>0</DocSecurity>
  <Lines>438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Zanina</cp:lastModifiedBy>
  <cp:revision>9</cp:revision>
  <cp:lastPrinted>2018-11-15T07:58:00Z</cp:lastPrinted>
  <dcterms:created xsi:type="dcterms:W3CDTF">2020-03-17T13:33:00Z</dcterms:created>
  <dcterms:modified xsi:type="dcterms:W3CDTF">2020-03-17T13:49:00Z</dcterms:modified>
</cp:coreProperties>
</file>