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CF6E64" w:rsidRPr="00CF6E64" w:rsidRDefault="00224B5A" w:rsidP="00CF6E64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распоряжений</w:t>
      </w:r>
      <w:r w:rsidR="00CF6E64">
        <w:rPr>
          <w:color w:val="FF0000"/>
          <w:sz w:val="28"/>
          <w:szCs w:val="28"/>
        </w:rPr>
        <w:t xml:space="preserve"> финансового управления от 10.01.2023 №03/01р</w:t>
      </w:r>
      <w:r>
        <w:rPr>
          <w:color w:val="FF0000"/>
          <w:sz w:val="28"/>
          <w:szCs w:val="28"/>
        </w:rPr>
        <w:t>, от 12.01.2023 №03/07р</w:t>
      </w:r>
      <w:r w:rsidR="00EC3CA2">
        <w:rPr>
          <w:color w:val="FF0000"/>
          <w:sz w:val="28"/>
          <w:szCs w:val="28"/>
        </w:rPr>
        <w:t>, от 09.02.2023 №03/26р</w:t>
      </w:r>
      <w:r w:rsidR="00B30A5B">
        <w:rPr>
          <w:color w:val="FF0000"/>
          <w:sz w:val="28"/>
          <w:szCs w:val="28"/>
        </w:rPr>
        <w:t>, от 02.03.2023 №03/33р</w:t>
      </w:r>
      <w:r w:rsidR="00CF6E64">
        <w:rPr>
          <w:color w:val="FF0000"/>
          <w:sz w:val="28"/>
          <w:szCs w:val="28"/>
        </w:rPr>
        <w:t>)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lastRenderedPageBreak/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Pr="0021724D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2B4AFE">
        <w:rPr>
          <w:sz w:val="28"/>
          <w:szCs w:val="28"/>
        </w:rPr>
        <w:lastRenderedPageBreak/>
        <w:t xml:space="preserve">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CF6E64" w:rsidRPr="004E7BFE" w:rsidRDefault="00CF6E64" w:rsidP="00CF6E64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CF6E64" w:rsidRPr="009E71A9" w:rsidRDefault="00CF6E64" w:rsidP="009E71A9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софинансирование капитальных вложений в объекты муниципальной собственности муниципальных образований Архангельской области,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lastRenderedPageBreak/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01B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EC3CA2" w:rsidRDefault="00A23BF1" w:rsidP="00EC3CA2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EC3CA2" w:rsidRPr="004E7BFE" w:rsidRDefault="00EC3CA2" w:rsidP="000B720C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89030</w:t>
      </w:r>
      <w:r w:rsidRPr="004E7BFE">
        <w:rPr>
          <w:sz w:val="27"/>
          <w:szCs w:val="27"/>
        </w:rPr>
        <w:t xml:space="preserve"> </w:t>
      </w:r>
      <w:r w:rsidRPr="00C7152D">
        <w:rPr>
          <w:sz w:val="27"/>
          <w:szCs w:val="27"/>
        </w:rPr>
        <w:t xml:space="preserve">Реализация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>негосударственных организаций</w:t>
      </w:r>
      <w:r>
        <w:rPr>
          <w:sz w:val="27"/>
          <w:szCs w:val="27"/>
        </w:rPr>
        <w:t>.</w:t>
      </w:r>
    </w:p>
    <w:p w:rsidR="00B30A5B" w:rsidRPr="00B30A5B" w:rsidRDefault="00EC3CA2" w:rsidP="00B30A5B">
      <w:pPr>
        <w:pStyle w:val="ab"/>
        <w:tabs>
          <w:tab w:val="left" w:pos="567"/>
        </w:tabs>
        <w:spacing w:beforeLines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>негосударственных организаций</w:t>
      </w:r>
      <w:r w:rsidRPr="00D353FF">
        <w:rPr>
          <w:sz w:val="28"/>
          <w:szCs w:val="28"/>
        </w:rPr>
        <w:t>.</w:t>
      </w:r>
    </w:p>
    <w:p w:rsidR="00B30A5B" w:rsidRPr="004E7BFE" w:rsidRDefault="00B30A5B" w:rsidP="00B30A5B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S6410</w:t>
      </w:r>
      <w:r w:rsidRPr="004E7BFE">
        <w:rPr>
          <w:sz w:val="27"/>
          <w:szCs w:val="27"/>
        </w:rPr>
        <w:t xml:space="preserve"> </w:t>
      </w:r>
      <w:r w:rsidRPr="001629E5">
        <w:rPr>
          <w:sz w:val="27"/>
          <w:szCs w:val="27"/>
        </w:rPr>
        <w:t xml:space="preserve">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>
        <w:rPr>
          <w:sz w:val="27"/>
          <w:szCs w:val="27"/>
        </w:rPr>
        <w:t>еды.</w:t>
      </w:r>
    </w:p>
    <w:p w:rsidR="00B30A5B" w:rsidRPr="001629E5" w:rsidRDefault="00B30A5B" w:rsidP="00B30A5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</w:t>
      </w:r>
      <w:r w:rsidRPr="001629E5">
        <w:rPr>
          <w:sz w:val="27"/>
          <w:szCs w:val="27"/>
        </w:rPr>
        <w:t>разработк</w:t>
      </w:r>
      <w:r>
        <w:rPr>
          <w:sz w:val="27"/>
          <w:szCs w:val="27"/>
        </w:rPr>
        <w:t>е</w:t>
      </w:r>
      <w:r w:rsidRPr="001629E5">
        <w:rPr>
          <w:sz w:val="27"/>
          <w:szCs w:val="27"/>
        </w:rPr>
        <w:t xml:space="preserve">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>
        <w:rPr>
          <w:sz w:val="27"/>
          <w:szCs w:val="27"/>
        </w:rPr>
        <w:t xml:space="preserve">еды,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</w:t>
      </w:r>
      <w:r w:rsidRPr="00E10AD0">
        <w:rPr>
          <w:sz w:val="28"/>
          <w:szCs w:val="28"/>
        </w:rPr>
        <w:lastRenderedPageBreak/>
        <w:t>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 «Город 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</w:t>
      </w:r>
      <w:r w:rsidRPr="00A65E41">
        <w:rPr>
          <w:sz w:val="28"/>
          <w:szCs w:val="28"/>
        </w:rPr>
        <w:lastRenderedPageBreak/>
        <w:t>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</w:t>
      </w:r>
      <w:r w:rsidRPr="00A5148A">
        <w:rPr>
          <w:sz w:val="28"/>
          <w:szCs w:val="28"/>
        </w:rPr>
        <w:lastRenderedPageBreak/>
        <w:t>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</w:t>
      </w:r>
      <w:r w:rsidRPr="002838E1">
        <w:rPr>
          <w:sz w:val="28"/>
          <w:szCs w:val="28"/>
        </w:rPr>
        <w:lastRenderedPageBreak/>
        <w:t>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lastRenderedPageBreak/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</w:t>
      </w:r>
      <w:r w:rsidRPr="002838E1">
        <w:rPr>
          <w:sz w:val="28"/>
          <w:szCs w:val="28"/>
        </w:rPr>
        <w:lastRenderedPageBreak/>
        <w:t>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</w:t>
      </w:r>
      <w:r w:rsidRPr="002838E1">
        <w:rPr>
          <w:sz w:val="28"/>
          <w:szCs w:val="28"/>
        </w:rPr>
        <w:lastRenderedPageBreak/>
        <w:t>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</w:t>
      </w:r>
      <w:r w:rsidRPr="0085507C">
        <w:rPr>
          <w:sz w:val="28"/>
          <w:szCs w:val="28"/>
        </w:rPr>
        <w:lastRenderedPageBreak/>
        <w:t xml:space="preserve">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 xml:space="preserve">расходы местного </w:t>
      </w:r>
      <w:r w:rsidR="00DE6EE6" w:rsidRPr="00E17A96">
        <w:rPr>
          <w:sz w:val="28"/>
          <w:szCs w:val="28"/>
        </w:rPr>
        <w:lastRenderedPageBreak/>
        <w:t>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0B720C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0B720C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</w:t>
      </w:r>
      <w:r w:rsidRPr="00167A76">
        <w:rPr>
          <w:sz w:val="28"/>
          <w:szCs w:val="28"/>
        </w:rPr>
        <w:lastRenderedPageBreak/>
        <w:t xml:space="preserve">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000 01 06 10 02 04 0001 550</w:t>
            </w:r>
          </w:p>
          <w:p w:rsidR="00224B5A" w:rsidRPr="00E17C92" w:rsidRDefault="00224B5A" w:rsidP="00224B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9F4974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000 01 06 10 02 04 0002 550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000 01 06 10 02 04 0004 550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A3799C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000 01 06 10 02 04 0005 550</w:t>
            </w:r>
          </w:p>
          <w:p w:rsidR="00224B5A" w:rsidRPr="00E17C92" w:rsidRDefault="00224B5A" w:rsidP="009F49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9F4974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</w:t>
            </w:r>
            <w:r w:rsidRPr="00224B5A">
              <w:rPr>
                <w:sz w:val="24"/>
                <w:szCs w:val="24"/>
              </w:rPr>
              <w:lastRenderedPageBreak/>
              <w:t>казначейского сопровождения,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64" w:rsidRDefault="00CF6E64">
      <w:r>
        <w:separator/>
      </w:r>
    </w:p>
  </w:endnote>
  <w:endnote w:type="continuationSeparator" w:id="0">
    <w:p w:rsidR="00CF6E64" w:rsidRDefault="00CF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330C2C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6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6E64" w:rsidRDefault="00CF6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64" w:rsidRDefault="00CF6E64">
      <w:r>
        <w:separator/>
      </w:r>
    </w:p>
  </w:footnote>
  <w:footnote w:type="continuationSeparator" w:id="0">
    <w:p w:rsidR="00CF6E64" w:rsidRDefault="00CF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64" w:rsidRDefault="00CF6E64">
    <w:pPr>
      <w:pStyle w:val="af"/>
      <w:jc w:val="center"/>
    </w:pPr>
  </w:p>
  <w:p w:rsidR="00CF6E64" w:rsidRDefault="00CF6E6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E87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E07A-84A9-402D-88B9-A97375EC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7349</Words>
  <Characters>55472</Characters>
  <Application>Microsoft Office Word</Application>
  <DocSecurity>0</DocSecurity>
  <Lines>462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62696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2022-10-31T08:01:00Z</cp:lastPrinted>
  <dcterms:created xsi:type="dcterms:W3CDTF">2023-03-02T09:16:00Z</dcterms:created>
  <dcterms:modified xsi:type="dcterms:W3CDTF">2023-03-02T09:18:00Z</dcterms:modified>
</cp:coreProperties>
</file>