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01C" w:rsidRPr="00D17646" w:rsidRDefault="0079501C" w:rsidP="0079501C">
      <w:pPr>
        <w:jc w:val="center"/>
        <w:rPr>
          <w:b/>
          <w:sz w:val="26"/>
          <w:szCs w:val="26"/>
          <w:u w:val="single"/>
        </w:rPr>
      </w:pPr>
      <w:r w:rsidRPr="00371D79">
        <w:rPr>
          <w:b/>
          <w:sz w:val="26"/>
          <w:szCs w:val="26"/>
        </w:rPr>
        <w:t xml:space="preserve">ОТЧЕТ </w:t>
      </w:r>
      <w:r w:rsidRPr="00D17646">
        <w:rPr>
          <w:b/>
          <w:sz w:val="26"/>
          <w:szCs w:val="26"/>
          <w:u w:val="single"/>
        </w:rPr>
        <w:t>№ 01-12/</w:t>
      </w:r>
      <w:r w:rsidR="004B5486">
        <w:rPr>
          <w:b/>
          <w:sz w:val="26"/>
          <w:szCs w:val="26"/>
          <w:u w:val="single"/>
        </w:rPr>
        <w:t>22</w:t>
      </w:r>
    </w:p>
    <w:p w:rsidR="0079501C" w:rsidRPr="00031FFA" w:rsidRDefault="0079501C" w:rsidP="0079501C">
      <w:pPr>
        <w:jc w:val="center"/>
        <w:rPr>
          <w:b/>
          <w:color w:val="2E74B5" w:themeColor="accent1" w:themeShade="BF"/>
          <w:u w:val="single"/>
        </w:rPr>
      </w:pPr>
      <w:r w:rsidRPr="00031FFA">
        <w:rPr>
          <w:bCs/>
        </w:rPr>
        <w:t xml:space="preserve">по результатам проверки </w:t>
      </w:r>
      <w:r w:rsidR="00BB08BD" w:rsidRPr="00031FFA">
        <w:rPr>
          <w:bCs/>
        </w:rPr>
        <w:t>расходования средств бюджета муниципального образования «Город Коряжма», выделенных на реализацию мероприятий муниципальной программы «Профилактика терроризма и экстремизма в городском округе Архангельской области «Город Коряжма» на 2021-2023 годы»</w:t>
      </w:r>
    </w:p>
    <w:p w:rsidR="0079501C" w:rsidRPr="00031FFA" w:rsidRDefault="0079501C" w:rsidP="0079501C">
      <w:pPr>
        <w:jc w:val="center"/>
        <w:rPr>
          <w:b/>
          <w:color w:val="2E74B5" w:themeColor="accent1" w:themeShade="BF"/>
        </w:rPr>
      </w:pPr>
    </w:p>
    <w:p w:rsidR="0079501C" w:rsidRPr="00031FFA" w:rsidRDefault="0079501C" w:rsidP="0079501C">
      <w:pPr>
        <w:tabs>
          <w:tab w:val="left" w:pos="1800"/>
        </w:tabs>
        <w:suppressAutoHyphens/>
        <w:autoSpaceDE w:val="0"/>
        <w:jc w:val="both"/>
        <w:rPr>
          <w:lang w:eastAsia="ar-SA"/>
        </w:rPr>
      </w:pPr>
      <w:r w:rsidRPr="00031FFA">
        <w:rPr>
          <w:lang w:eastAsia="ar-SA"/>
        </w:rPr>
        <w:t xml:space="preserve">г. Коряжма                                                                              </w:t>
      </w:r>
      <w:r w:rsidR="00031FFA">
        <w:rPr>
          <w:lang w:eastAsia="ar-SA"/>
        </w:rPr>
        <w:t xml:space="preserve">                  </w:t>
      </w:r>
      <w:r w:rsidRPr="00031FFA">
        <w:rPr>
          <w:lang w:eastAsia="ar-SA"/>
        </w:rPr>
        <w:t xml:space="preserve">      «25» августа 2022 года</w:t>
      </w:r>
    </w:p>
    <w:p w:rsidR="0079501C" w:rsidRPr="00031FFA" w:rsidRDefault="0079501C" w:rsidP="0079501C">
      <w:pPr>
        <w:rPr>
          <w:b/>
        </w:rPr>
      </w:pPr>
    </w:p>
    <w:p w:rsidR="0079501C" w:rsidRPr="00031FFA" w:rsidRDefault="0079501C" w:rsidP="0079501C"/>
    <w:p w:rsidR="0079501C" w:rsidRPr="00031FFA" w:rsidRDefault="0079501C" w:rsidP="00031FFA">
      <w:pPr>
        <w:ind w:firstLine="709"/>
        <w:jc w:val="both"/>
      </w:pPr>
      <w:r w:rsidRPr="00031FFA">
        <w:rPr>
          <w:b/>
        </w:rPr>
        <w:t xml:space="preserve">Основание для проведения контрольного мероприятия: </w:t>
      </w:r>
      <w:r w:rsidRPr="00031FFA">
        <w:t xml:space="preserve">пункт </w:t>
      </w:r>
      <w:r w:rsidR="00BB08BD" w:rsidRPr="00031FFA">
        <w:t>1.1</w:t>
      </w:r>
      <w:r w:rsidRPr="00031FFA">
        <w:t xml:space="preserve"> Плана работы контрольно-счётной палаты городского округа Архангельской области «Город Коряжма» на 20</w:t>
      </w:r>
      <w:r w:rsidR="00BB08BD" w:rsidRPr="00031FFA">
        <w:t>22</w:t>
      </w:r>
      <w:r w:rsidRPr="00031FFA">
        <w:t xml:space="preserve"> год; распоряжения от </w:t>
      </w:r>
      <w:r w:rsidR="00BB08BD" w:rsidRPr="00031FFA">
        <w:t>08</w:t>
      </w:r>
      <w:r w:rsidRPr="00031FFA">
        <w:t>.</w:t>
      </w:r>
      <w:r w:rsidR="00BB08BD" w:rsidRPr="00031FFA">
        <w:t>06</w:t>
      </w:r>
      <w:r w:rsidRPr="00031FFA">
        <w:t>.20</w:t>
      </w:r>
      <w:r w:rsidR="00BB08BD" w:rsidRPr="00031FFA">
        <w:t>22</w:t>
      </w:r>
      <w:r w:rsidRPr="00031FFA">
        <w:t xml:space="preserve"> г. №01-03/</w:t>
      </w:r>
      <w:r w:rsidR="00BB08BD" w:rsidRPr="00031FFA">
        <w:t>8</w:t>
      </w:r>
      <w:r w:rsidRPr="00031FFA">
        <w:t xml:space="preserve">, выданного председателем контрольно-счётной палаты городского округа Архангельской области «Город Коряжма», </w:t>
      </w:r>
    </w:p>
    <w:p w:rsidR="00BB08BD" w:rsidRPr="00031FFA" w:rsidRDefault="0079501C" w:rsidP="00031FFA">
      <w:pPr>
        <w:ind w:firstLine="709"/>
        <w:jc w:val="both"/>
        <w:rPr>
          <w:bCs/>
        </w:rPr>
      </w:pPr>
      <w:r w:rsidRPr="00031FFA">
        <w:rPr>
          <w:b/>
        </w:rPr>
        <w:t xml:space="preserve">Цель контрольного мероприятия: </w:t>
      </w:r>
      <w:r w:rsidR="00BB08BD" w:rsidRPr="00031FFA">
        <w:rPr>
          <w:bCs/>
        </w:rPr>
        <w:t>оценка эффективности, экономности, результативности бюджетных расходов, направленных на реализацию мероприятий муниципальной программы «Профилактика терроризма и экстремизма в городском округе Архангельской области «Город Коряжма» на 2021-2023годы», а также соблюдения процедуры и качества ее формирования в соответствии с Порядком принятия решений о разработке и реализации муниципальных программ на территории муниципального образования «Город Коряжма», утвержденным Постановлением администрации от 20.08.2013 № 1455.</w:t>
      </w:r>
    </w:p>
    <w:p w:rsidR="00BB08BD" w:rsidRPr="00031FFA" w:rsidRDefault="0079501C" w:rsidP="00031FFA">
      <w:pPr>
        <w:ind w:firstLine="709"/>
        <w:jc w:val="both"/>
        <w:rPr>
          <w:bCs/>
        </w:rPr>
      </w:pPr>
      <w:r w:rsidRPr="00031FFA">
        <w:rPr>
          <w:b/>
        </w:rPr>
        <w:t>Предмет контрольного</w:t>
      </w:r>
      <w:r w:rsidRPr="00031FFA">
        <w:t xml:space="preserve"> </w:t>
      </w:r>
      <w:r w:rsidRPr="00031FFA">
        <w:rPr>
          <w:b/>
          <w:bCs/>
        </w:rPr>
        <w:t>мероприятия</w:t>
      </w:r>
      <w:r w:rsidRPr="00031FFA">
        <w:rPr>
          <w:b/>
        </w:rPr>
        <w:t xml:space="preserve">: </w:t>
      </w:r>
      <w:r w:rsidR="00BB08BD" w:rsidRPr="00031FFA">
        <w:rPr>
          <w:bCs/>
        </w:rPr>
        <w:t>средства бюджета городского округа Архангельской области «Город Коряжма», документы, подтверждающие и обосновывающие включение и выполнение программных мероприятий (распорядительные документы, отчетные, бухгалтерские документы, регистры бухгалтерского учета, закупочные, договорные, платежные документы, подтверждающие расходование бюджетных средств, другие документы по теме проверки).</w:t>
      </w:r>
    </w:p>
    <w:p w:rsidR="00BB08BD" w:rsidRPr="00031FFA" w:rsidRDefault="0079501C" w:rsidP="00031FFA">
      <w:pPr>
        <w:ind w:firstLine="709"/>
        <w:jc w:val="both"/>
      </w:pPr>
      <w:r w:rsidRPr="00031FFA">
        <w:rPr>
          <w:b/>
        </w:rPr>
        <w:t>Объект (Объекты) контрольного мероприятия:</w:t>
      </w:r>
      <w:r w:rsidRPr="00031FFA">
        <w:t xml:space="preserve"> </w:t>
      </w:r>
      <w:r w:rsidR="00BB08BD" w:rsidRPr="00031FFA">
        <w:t xml:space="preserve">Администрация городского округа Архангельской области «Город Коряжма», управление социального развития администрация городского округа Архангельской области «Город Коряжма»,  участники программы – бюджетные учреждения </w:t>
      </w:r>
    </w:p>
    <w:p w:rsidR="0079501C" w:rsidRPr="00031FFA" w:rsidRDefault="0079501C" w:rsidP="00031FFA">
      <w:pPr>
        <w:ind w:firstLine="709"/>
        <w:rPr>
          <w:bCs/>
        </w:rPr>
      </w:pPr>
      <w:r w:rsidRPr="00031FFA">
        <w:rPr>
          <w:b/>
          <w:bCs/>
        </w:rPr>
        <w:t xml:space="preserve">Проверяемый период: </w:t>
      </w:r>
      <w:r w:rsidR="00BB08BD" w:rsidRPr="00031FFA">
        <w:rPr>
          <w:bCs/>
        </w:rPr>
        <w:t>с 01.01.2021</w:t>
      </w:r>
      <w:r w:rsidRPr="00031FFA">
        <w:rPr>
          <w:bCs/>
        </w:rPr>
        <w:t xml:space="preserve">г. </w:t>
      </w:r>
      <w:r w:rsidR="00BB08BD" w:rsidRPr="00031FFA">
        <w:rPr>
          <w:bCs/>
        </w:rPr>
        <w:t>по 31.12.2021</w:t>
      </w:r>
      <w:r w:rsidRPr="00031FFA">
        <w:rPr>
          <w:bCs/>
        </w:rPr>
        <w:t>г.</w:t>
      </w:r>
    </w:p>
    <w:p w:rsidR="0079501C" w:rsidRPr="00031FFA" w:rsidRDefault="0079501C" w:rsidP="00031FFA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31FFA">
        <w:rPr>
          <w:rFonts w:ascii="Times New Roman" w:hAnsi="Times New Roman"/>
          <w:b/>
          <w:sz w:val="24"/>
          <w:szCs w:val="24"/>
        </w:rPr>
        <w:t>Срок проведения контрольного мероприятия:</w:t>
      </w:r>
      <w:r w:rsidRPr="00031FFA">
        <w:rPr>
          <w:rFonts w:ascii="Times New Roman" w:hAnsi="Times New Roman"/>
          <w:sz w:val="24"/>
          <w:szCs w:val="24"/>
        </w:rPr>
        <w:t xml:space="preserve"> с «</w:t>
      </w:r>
      <w:r w:rsidR="00BB08BD" w:rsidRPr="00031FFA">
        <w:rPr>
          <w:rFonts w:ascii="Times New Roman" w:hAnsi="Times New Roman"/>
          <w:sz w:val="24"/>
          <w:szCs w:val="24"/>
        </w:rPr>
        <w:t>14» июня по «13</w:t>
      </w:r>
      <w:r w:rsidRPr="00031FFA">
        <w:rPr>
          <w:rFonts w:ascii="Times New Roman" w:hAnsi="Times New Roman"/>
          <w:sz w:val="24"/>
          <w:szCs w:val="24"/>
        </w:rPr>
        <w:t xml:space="preserve">» </w:t>
      </w:r>
      <w:r w:rsidR="00BB08BD" w:rsidRPr="00031FFA">
        <w:rPr>
          <w:rFonts w:ascii="Times New Roman" w:hAnsi="Times New Roman"/>
          <w:sz w:val="24"/>
          <w:szCs w:val="24"/>
        </w:rPr>
        <w:t>июля 2022</w:t>
      </w:r>
      <w:r w:rsidRPr="00031FFA">
        <w:rPr>
          <w:rFonts w:ascii="Times New Roman" w:hAnsi="Times New Roman"/>
          <w:sz w:val="24"/>
          <w:szCs w:val="24"/>
        </w:rPr>
        <w:t xml:space="preserve"> г. </w:t>
      </w:r>
    </w:p>
    <w:p w:rsidR="0079501C" w:rsidRPr="00031FFA" w:rsidRDefault="0079501C" w:rsidP="00031FFA">
      <w:pPr>
        <w:spacing w:line="259" w:lineRule="auto"/>
        <w:ind w:firstLine="709"/>
        <w:jc w:val="both"/>
        <w:rPr>
          <w:rFonts w:eastAsiaTheme="minorEastAsia"/>
          <w:bCs/>
          <w:lang w:eastAsia="ar-SA"/>
        </w:rPr>
      </w:pPr>
      <w:r w:rsidRPr="00031FFA">
        <w:rPr>
          <w:rFonts w:eastAsiaTheme="minorEastAsia"/>
          <w:b/>
          <w:lang w:eastAsia="ar-SA"/>
        </w:rPr>
        <w:t>Перечень всех оформленных актов</w:t>
      </w:r>
      <w:r w:rsidRPr="00031FFA">
        <w:rPr>
          <w:rFonts w:eastAsiaTheme="minorEastAsia"/>
          <w:bCs/>
          <w:lang w:eastAsia="ar-SA"/>
        </w:rPr>
        <w:t xml:space="preserve"> </w:t>
      </w:r>
    </w:p>
    <w:p w:rsidR="0079501C" w:rsidRPr="00031FFA" w:rsidRDefault="0079501C" w:rsidP="00031FFA">
      <w:pPr>
        <w:ind w:firstLine="709"/>
        <w:jc w:val="both"/>
        <w:rPr>
          <w:rFonts w:eastAsiaTheme="minorEastAsia"/>
        </w:rPr>
      </w:pPr>
      <w:r w:rsidRPr="00031FFA">
        <w:rPr>
          <w:rFonts w:eastAsiaTheme="minorEastAsia"/>
        </w:rPr>
        <w:t>По результатам проверки составлен</w:t>
      </w:r>
      <w:r w:rsidR="00BB08BD" w:rsidRPr="00031FFA">
        <w:rPr>
          <w:rFonts w:eastAsiaTheme="minorEastAsia"/>
        </w:rPr>
        <w:t>о 15</w:t>
      </w:r>
      <w:r w:rsidRPr="00031FFA">
        <w:rPr>
          <w:rFonts w:eastAsiaTheme="minorEastAsia"/>
        </w:rPr>
        <w:t xml:space="preserve"> акт</w:t>
      </w:r>
      <w:r w:rsidR="00BB08BD" w:rsidRPr="00031FFA">
        <w:rPr>
          <w:rFonts w:eastAsiaTheme="minorEastAsia"/>
        </w:rPr>
        <w:t>ов</w:t>
      </w:r>
      <w:r w:rsidRPr="00031FFA">
        <w:rPr>
          <w:rFonts w:eastAsiaTheme="minorEastAsia"/>
        </w:rPr>
        <w:t xml:space="preserve"> от </w:t>
      </w:r>
      <w:r w:rsidR="00BB08BD" w:rsidRPr="00031FFA">
        <w:rPr>
          <w:rFonts w:eastAsiaTheme="minorEastAsia"/>
        </w:rPr>
        <w:t>20</w:t>
      </w:r>
      <w:r w:rsidRPr="00031FFA">
        <w:rPr>
          <w:rFonts w:eastAsiaTheme="minorEastAsia"/>
        </w:rPr>
        <w:t>.</w:t>
      </w:r>
      <w:r w:rsidR="00BB08BD" w:rsidRPr="00031FFA">
        <w:rPr>
          <w:rFonts w:eastAsiaTheme="minorEastAsia"/>
        </w:rPr>
        <w:t>07</w:t>
      </w:r>
      <w:r w:rsidRPr="00031FFA">
        <w:rPr>
          <w:rFonts w:eastAsiaTheme="minorEastAsia"/>
        </w:rPr>
        <w:t>.20</w:t>
      </w:r>
      <w:r w:rsidR="00BB08BD" w:rsidRPr="00031FFA">
        <w:rPr>
          <w:rFonts w:eastAsiaTheme="minorEastAsia"/>
        </w:rPr>
        <w:t>22 №01-12/7-01-12/21</w:t>
      </w:r>
      <w:r w:rsidRPr="00031FFA">
        <w:rPr>
          <w:rFonts w:eastAsiaTheme="minorEastAsia"/>
        </w:rPr>
        <w:t>, с которым ознакомлен</w:t>
      </w:r>
      <w:r w:rsidR="00F931CB" w:rsidRPr="00031FFA">
        <w:rPr>
          <w:rFonts w:eastAsiaTheme="minorEastAsia"/>
        </w:rPr>
        <w:t>ы:</w:t>
      </w:r>
      <w:r w:rsidR="00BB08BD" w:rsidRPr="00031FFA">
        <w:rPr>
          <w:rFonts w:eastAsiaTheme="minorEastAsia"/>
        </w:rPr>
        <w:t xml:space="preserve"> глава городского округа Архангельской области «Город Коряжма»</w:t>
      </w:r>
      <w:r w:rsidR="00F931CB" w:rsidRPr="00031FFA">
        <w:rPr>
          <w:rFonts w:eastAsiaTheme="minorEastAsia"/>
        </w:rPr>
        <w:t xml:space="preserve">, </w:t>
      </w:r>
      <w:r w:rsidRPr="00031FFA">
        <w:rPr>
          <w:rFonts w:eastAsiaTheme="minorEastAsia"/>
        </w:rPr>
        <w:t>заместитель главы муниципа</w:t>
      </w:r>
      <w:r w:rsidR="00BB08BD" w:rsidRPr="00031FFA">
        <w:rPr>
          <w:rFonts w:eastAsiaTheme="minorEastAsia"/>
        </w:rPr>
        <w:t>льного образования по социальным вопросам, начальник управления социального развития</w:t>
      </w:r>
      <w:r w:rsidRPr="00031FFA">
        <w:rPr>
          <w:rFonts w:eastAsiaTheme="minorEastAsia"/>
        </w:rPr>
        <w:t>,</w:t>
      </w:r>
      <w:r w:rsidR="00F931CB" w:rsidRPr="00031FFA">
        <w:rPr>
          <w:rFonts w:eastAsiaTheme="minorEastAsia"/>
        </w:rPr>
        <w:t xml:space="preserve"> начальник финансово-экономического отдела управления социального развития, директора МОУ «СОШ №1,2,5,6,7», МАОУ «Межшкольный учебный комбинат», заведующие МДОУ №1,2,5,12,13,14,17,18, главный бухгалтер МКУ «Служба финансового учета». </w:t>
      </w:r>
      <w:r w:rsidR="00C51FA3" w:rsidRPr="00031FFA">
        <w:rPr>
          <w:rFonts w:eastAsiaTheme="minorEastAsia"/>
        </w:rPr>
        <w:t>По результатам рассмотрения акт</w:t>
      </w:r>
      <w:r w:rsidR="00DE4260" w:rsidRPr="00031FFA">
        <w:rPr>
          <w:rFonts w:eastAsiaTheme="minorEastAsia"/>
        </w:rPr>
        <w:t>ов</w:t>
      </w:r>
      <w:r w:rsidR="00C51FA3" w:rsidRPr="00031FFA">
        <w:rPr>
          <w:rFonts w:eastAsiaTheme="minorEastAsia"/>
        </w:rPr>
        <w:t xml:space="preserve"> проверки</w:t>
      </w:r>
      <w:r w:rsidR="00F931CB" w:rsidRPr="00031FFA">
        <w:rPr>
          <w:rFonts w:eastAsiaTheme="minorEastAsia"/>
        </w:rPr>
        <w:t xml:space="preserve"> </w:t>
      </w:r>
      <w:r w:rsidR="00C51FA3" w:rsidRPr="00031FFA">
        <w:rPr>
          <w:rFonts w:eastAsiaTheme="minorEastAsia"/>
        </w:rPr>
        <w:t>в</w:t>
      </w:r>
      <w:r w:rsidRPr="00031FFA">
        <w:rPr>
          <w:rFonts w:eastAsiaTheme="minorEastAsia"/>
        </w:rPr>
        <w:t xml:space="preserve"> адрес контрольно-счётной палаты п</w:t>
      </w:r>
      <w:r w:rsidR="00387F36" w:rsidRPr="00031FFA">
        <w:rPr>
          <w:rFonts w:eastAsiaTheme="minorEastAsia"/>
        </w:rPr>
        <w:t>редставлены пояснения и информация об устранение</w:t>
      </w:r>
      <w:r w:rsidR="00C51FA3" w:rsidRPr="00031FFA">
        <w:rPr>
          <w:rFonts w:eastAsiaTheme="minorEastAsia"/>
        </w:rPr>
        <w:t xml:space="preserve"> </w:t>
      </w:r>
      <w:r w:rsidR="00387F36" w:rsidRPr="00031FFA">
        <w:rPr>
          <w:rFonts w:eastAsiaTheme="minorEastAsia"/>
        </w:rPr>
        <w:t>нарушений</w:t>
      </w:r>
      <w:r w:rsidR="000F77A1" w:rsidRPr="00031FFA">
        <w:rPr>
          <w:rFonts w:eastAsiaTheme="minorEastAsia"/>
        </w:rPr>
        <w:t xml:space="preserve"> от МОУ «СОШ №1,5</w:t>
      </w:r>
      <w:r w:rsidR="00C51FA3" w:rsidRPr="00031FFA">
        <w:rPr>
          <w:rFonts w:eastAsiaTheme="minorEastAsia"/>
        </w:rPr>
        <w:t>,7</w:t>
      </w:r>
      <w:r w:rsidR="000F77A1" w:rsidRPr="00031FFA">
        <w:rPr>
          <w:rFonts w:eastAsiaTheme="minorEastAsia"/>
        </w:rPr>
        <w:t>»</w:t>
      </w:r>
      <w:r w:rsidR="000726F0" w:rsidRPr="00031FFA">
        <w:rPr>
          <w:rFonts w:eastAsiaTheme="minorEastAsia"/>
        </w:rPr>
        <w:t>, МДОУ №13</w:t>
      </w:r>
      <w:r w:rsidR="00387F36" w:rsidRPr="00031FFA">
        <w:rPr>
          <w:rFonts w:eastAsiaTheme="minorEastAsia"/>
        </w:rPr>
        <w:t>,17</w:t>
      </w:r>
      <w:r w:rsidR="00C51FA3" w:rsidRPr="00031FFA">
        <w:rPr>
          <w:rFonts w:eastAsiaTheme="minorEastAsia"/>
        </w:rPr>
        <w:t>,</w:t>
      </w:r>
      <w:r w:rsidR="000F77A1" w:rsidRPr="00031FFA">
        <w:rPr>
          <w:rFonts w:eastAsiaTheme="minorEastAsia"/>
        </w:rPr>
        <w:t xml:space="preserve"> МКУ «СФУ»</w:t>
      </w:r>
      <w:r w:rsidR="003B14FA" w:rsidRPr="00031FFA">
        <w:rPr>
          <w:rFonts w:eastAsiaTheme="minorEastAsia"/>
        </w:rPr>
        <w:t>,</w:t>
      </w:r>
      <w:r w:rsidR="0006333D" w:rsidRPr="00031FFA">
        <w:rPr>
          <w:rFonts w:eastAsiaTheme="minorEastAsia"/>
        </w:rPr>
        <w:t xml:space="preserve"> </w:t>
      </w:r>
      <w:r w:rsidR="003B14FA" w:rsidRPr="00031FFA">
        <w:rPr>
          <w:rFonts w:eastAsiaTheme="minorEastAsia"/>
        </w:rPr>
        <w:t>МАО</w:t>
      </w:r>
      <w:r w:rsidR="00B5704E" w:rsidRPr="00031FFA">
        <w:rPr>
          <w:rFonts w:eastAsiaTheme="minorEastAsia"/>
        </w:rPr>
        <w:t>У</w:t>
      </w:r>
      <w:r w:rsidR="003B14FA" w:rsidRPr="00031FFA">
        <w:rPr>
          <w:rFonts w:eastAsiaTheme="minorEastAsia"/>
        </w:rPr>
        <w:t xml:space="preserve"> «МУК»</w:t>
      </w:r>
      <w:r w:rsidR="000726F0" w:rsidRPr="00031FFA">
        <w:rPr>
          <w:rFonts w:eastAsiaTheme="minorEastAsia"/>
        </w:rPr>
        <w:t xml:space="preserve"> и возражения от МДОУ №14 от 01.08.2022 №276.</w:t>
      </w:r>
    </w:p>
    <w:p w:rsidR="0079501C" w:rsidRPr="00031FFA" w:rsidRDefault="0079501C" w:rsidP="00031FFA">
      <w:pPr>
        <w:tabs>
          <w:tab w:val="left" w:pos="1800"/>
        </w:tabs>
        <w:suppressAutoHyphens/>
        <w:autoSpaceDE w:val="0"/>
        <w:ind w:firstLine="709"/>
        <w:jc w:val="both"/>
        <w:rPr>
          <w:rFonts w:eastAsiaTheme="minorEastAsia"/>
        </w:rPr>
      </w:pPr>
      <w:r w:rsidRPr="00031FFA">
        <w:rPr>
          <w:rFonts w:eastAsiaTheme="minorEastAsia"/>
        </w:rPr>
        <w:t>При подготовке настоящего отчет</w:t>
      </w:r>
      <w:r w:rsidR="000F77A1" w:rsidRPr="00031FFA">
        <w:rPr>
          <w:rFonts w:eastAsiaTheme="minorEastAsia"/>
        </w:rPr>
        <w:t xml:space="preserve">а использованы материалы по актам проверки, пояснения по актам проверки. </w:t>
      </w:r>
    </w:p>
    <w:p w:rsidR="0079501C" w:rsidRPr="00031FFA" w:rsidRDefault="0079501C" w:rsidP="0079501C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79501C" w:rsidRPr="00031FFA" w:rsidRDefault="0079501C" w:rsidP="0079501C">
      <w:pPr>
        <w:tabs>
          <w:tab w:val="left" w:pos="1800"/>
        </w:tabs>
        <w:suppressAutoHyphens/>
        <w:autoSpaceDE w:val="0"/>
        <w:jc w:val="both"/>
        <w:rPr>
          <w:rFonts w:eastAsiaTheme="minorEastAsia"/>
          <w:b/>
          <w:lang w:eastAsia="ar-SA"/>
        </w:rPr>
      </w:pPr>
      <w:r w:rsidRPr="00031FFA">
        <w:rPr>
          <w:rFonts w:eastAsiaTheme="minorEastAsia"/>
          <w:b/>
          <w:lang w:eastAsia="ar-SA"/>
        </w:rPr>
        <w:t>Результаты контрольного мероприятия:</w:t>
      </w:r>
    </w:p>
    <w:p w:rsidR="00857EC6" w:rsidRPr="00031FFA" w:rsidRDefault="00857EC6" w:rsidP="00031FFA">
      <w:pPr>
        <w:ind w:firstLine="709"/>
        <w:jc w:val="both"/>
      </w:pPr>
      <w:r w:rsidRPr="00031FFA">
        <w:t>1.</w:t>
      </w:r>
      <w:r w:rsidRPr="00031FFA">
        <w:tab/>
        <w:t>Разделы Программы не соответствуют в полной мере требованиям, установленным в Порядке № 1455, в целом Программа требует доработки:</w:t>
      </w:r>
    </w:p>
    <w:p w:rsidR="00857EC6" w:rsidRPr="00031FFA" w:rsidRDefault="00857EC6" w:rsidP="00031FFA">
      <w:pPr>
        <w:ind w:firstLine="709"/>
        <w:jc w:val="both"/>
      </w:pPr>
      <w:r w:rsidRPr="00031FFA">
        <w:t>•</w:t>
      </w:r>
      <w:r w:rsidRPr="00031FFA">
        <w:tab/>
        <w:t>в 2 разделе Программы «Общая характеристика сферы реализации Программы, проблемы, на решение которой направлена Программа и пути их решения» не представлены статистические данные в динамике за ряд лет.</w:t>
      </w:r>
    </w:p>
    <w:p w:rsidR="00857EC6" w:rsidRPr="00031FFA" w:rsidRDefault="00857EC6" w:rsidP="00031FFA">
      <w:pPr>
        <w:ind w:firstLine="709"/>
        <w:jc w:val="both"/>
      </w:pPr>
      <w:r w:rsidRPr="00031FFA">
        <w:lastRenderedPageBreak/>
        <w:t>В нарушении пп.1 п.17 раздела 2 Порядка № 1455 в разделе 2 Программы отсутствуют основные проблемы, существующие в сфере профилактики экстремизма и пути их решения, а также прогноз развития сферы профилактики терроризма и экстремизма с учетом реализации Программы.</w:t>
      </w:r>
    </w:p>
    <w:p w:rsidR="00857EC6" w:rsidRPr="00031FFA" w:rsidRDefault="00857EC6" w:rsidP="00031FFA">
      <w:pPr>
        <w:ind w:firstLine="709"/>
        <w:jc w:val="both"/>
      </w:pPr>
      <w:r w:rsidRPr="00031FFA">
        <w:t>Также раздел не содержит указаний на приоритетные направления Программы.</w:t>
      </w:r>
    </w:p>
    <w:p w:rsidR="00857EC6" w:rsidRPr="00031FFA" w:rsidRDefault="00857EC6" w:rsidP="00031FFA">
      <w:pPr>
        <w:ind w:firstLine="709"/>
        <w:jc w:val="both"/>
      </w:pPr>
      <w:r w:rsidRPr="00031FFA">
        <w:t>•</w:t>
      </w:r>
      <w:r w:rsidRPr="00031FFA">
        <w:tab/>
        <w:t>Раздел 3 «Основные цели и задачи Программы» не содержит обоснования необходимости решения поставленных задач для достижения сформулированных целей Программы.</w:t>
      </w:r>
    </w:p>
    <w:p w:rsidR="00857EC6" w:rsidRPr="00031FFA" w:rsidRDefault="00857EC6" w:rsidP="00031FFA">
      <w:pPr>
        <w:ind w:firstLine="709"/>
        <w:jc w:val="both"/>
      </w:pPr>
      <w:r w:rsidRPr="00031FFA">
        <w:t>•</w:t>
      </w:r>
      <w:r w:rsidRPr="00031FFA">
        <w:tab/>
        <w:t>Раздел 3 (нарушена нумерация разделов, два раздела за номером 3) «Сроки и этапы реализации Программы, целевые показатели Программы» Программа не содержит обоснования сроков решения задач и реализации Программы с описанием основных этапов реализации. Согласно приложению №5 к Порядку №1455 в столбце №3 должны отражаться показатели базового года, а не показатели «Всего».</w:t>
      </w:r>
    </w:p>
    <w:p w:rsidR="00857EC6" w:rsidRDefault="00857EC6" w:rsidP="00031FFA">
      <w:pPr>
        <w:ind w:firstLine="709"/>
        <w:jc w:val="both"/>
      </w:pPr>
      <w:r w:rsidRPr="00031FFA">
        <w:t xml:space="preserve">- </w:t>
      </w:r>
      <w:r w:rsidR="001769C2">
        <w:t>ф</w:t>
      </w:r>
      <w:r w:rsidRPr="00031FFA">
        <w:t>ормулировка целевого показателя с порядковым номер</w:t>
      </w:r>
      <w:r w:rsidR="00031FFA">
        <w:t xml:space="preserve">ом </w:t>
      </w:r>
      <w:r w:rsidRPr="00031FFA">
        <w:t>2 не дает понимание о расчете доли оснащенных учреждений. Включается</w:t>
      </w:r>
      <w:r>
        <w:t xml:space="preserve"> ли в расчет учреждение, у которого полностью произведено оснащение всеми указанными системами или установлено хотя бы одно из технических средств. Также непонятно определение значения целевого показателя: значение указано с нарастающим итогом или определено по показателям за год.</w:t>
      </w:r>
    </w:p>
    <w:p w:rsidR="00857EC6" w:rsidRDefault="00857EC6" w:rsidP="00031FFA">
      <w:pPr>
        <w:ind w:firstLine="709"/>
        <w:jc w:val="both"/>
      </w:pPr>
      <w:r>
        <w:t xml:space="preserve">- </w:t>
      </w:r>
      <w:r w:rsidR="001769C2">
        <w:t>ц</w:t>
      </w:r>
      <w:r>
        <w:t xml:space="preserve">елевой показатель с порядковым номером 3 «Доля муниципальных казенных, автономных и бюджетных учреждений образования, культуры, физической культуры и спорта, прошедших процедуры категорирования и паспортизации (в %) не предусмотрен задачами и мероприятиями Программы. Кроме того, значения целевых показателей отражены двумя позициями, поэтому показатели не могут быть объедены в один целевой показатель. </w:t>
      </w:r>
    </w:p>
    <w:p w:rsidR="00857EC6" w:rsidRDefault="00857EC6" w:rsidP="00031FFA">
      <w:pPr>
        <w:ind w:firstLine="709"/>
        <w:jc w:val="both"/>
      </w:pPr>
      <w:r>
        <w:t xml:space="preserve">- </w:t>
      </w:r>
      <w:r w:rsidR="001769C2">
        <w:t>ц</w:t>
      </w:r>
      <w:r>
        <w:t>елевые показатели, предусмотренные разделом 3 Программы, не дают необходимой информации для осуществления мониторинга, оценки реализации целевой Программы и степени решения поставленных задач в полной мере.</w:t>
      </w:r>
    </w:p>
    <w:p w:rsidR="00857EC6" w:rsidRDefault="00857EC6" w:rsidP="00031FFA">
      <w:pPr>
        <w:ind w:firstLine="709"/>
        <w:jc w:val="both"/>
      </w:pPr>
      <w:r>
        <w:t>•</w:t>
      </w:r>
      <w:r>
        <w:tab/>
        <w:t>В нарушении п.п.4 п.17 раздела 2 Порядка №1455 перечень программных мероприяти</w:t>
      </w:r>
      <w:r w:rsidR="00031FFA">
        <w:t>й</w:t>
      </w:r>
      <w:r>
        <w:t xml:space="preserve"> представлен не по форме согласно приложению №2 к Порядку, утвержденного Постановления №1455. Отсутствует столбец источники финансирования и ожидаемые результаты реализации. Мероприятия Программы не увязаны с задачами, что не позволяет сделать вывод о соответствие программных мероприятий задачам, направленным на достижение поставленных целей.</w:t>
      </w:r>
    </w:p>
    <w:p w:rsidR="00857EC6" w:rsidRDefault="00857EC6" w:rsidP="00031FFA">
      <w:pPr>
        <w:ind w:firstLine="709"/>
        <w:jc w:val="both"/>
      </w:pPr>
      <w:r>
        <w:t>•</w:t>
      </w:r>
      <w:r>
        <w:tab/>
        <w:t xml:space="preserve">В нарушении </w:t>
      </w:r>
      <w:proofErr w:type="spellStart"/>
      <w:r>
        <w:t>пп</w:t>
      </w:r>
      <w:proofErr w:type="spellEnd"/>
      <w:r>
        <w:t xml:space="preserve">. 5 п.17 раздела 2 Порядка №1455 сведения об объемах и источниках финансирования Программы не представлены согласно приложению №4 к Порядку №1455 </w:t>
      </w:r>
    </w:p>
    <w:p w:rsidR="00857EC6" w:rsidRDefault="00857EC6" w:rsidP="00031FFA">
      <w:pPr>
        <w:ind w:firstLine="709"/>
        <w:jc w:val="both"/>
      </w:pPr>
      <w:r>
        <w:t>•</w:t>
      </w:r>
      <w:r>
        <w:tab/>
        <w:t>В нарушении п.п.6 п.17 Порядка№1455 в разделе 6 «Система управления реализацией Программы» не представлен комплекс мер и действий, обеспечивающих реализацию Программы, не раскрыт механизм управления и технология осуществления контроля Программой, а также не раскрыт порядок координации деятельности исполнителей конкретных мероприятий Программы, обеспечивающий их согласованные действия по подготовке, реализации и финансированию Программных мероприятий, целевому и эффективному использованию бюджетных средств, что  свидетельствует о формальном подходе к его разработке.</w:t>
      </w:r>
    </w:p>
    <w:p w:rsidR="00857EC6" w:rsidRDefault="00857EC6" w:rsidP="00031FFA">
      <w:pPr>
        <w:ind w:firstLine="709"/>
        <w:jc w:val="both"/>
      </w:pPr>
      <w:r>
        <w:t>•</w:t>
      </w:r>
      <w:r>
        <w:tab/>
        <w:t xml:space="preserve"> Раздел 7 «Ожидаемые результаты реализации Программы» не содержит описание поддающихся количественной и качественной оценке ожидаемых конечных результатов, которые должны быть достигнуты по итогам реализации Программы.</w:t>
      </w:r>
    </w:p>
    <w:p w:rsidR="00857EC6" w:rsidRDefault="00857EC6" w:rsidP="00031FFA">
      <w:pPr>
        <w:ind w:firstLine="709"/>
        <w:jc w:val="both"/>
      </w:pPr>
      <w:r>
        <w:t>2.</w:t>
      </w:r>
      <w:r>
        <w:tab/>
        <w:t>В рамках выполнения муниципальной целевой программы «Профилактика терроризма и экстремизма в городском округе Архангельской области «Город Коряжма» на 2021-2023годы» выполняются мероприятия, не соответствующие целям программы.</w:t>
      </w:r>
    </w:p>
    <w:p w:rsidR="00857EC6" w:rsidRDefault="00857EC6" w:rsidP="00031FFA">
      <w:pPr>
        <w:ind w:firstLine="709"/>
        <w:jc w:val="both"/>
      </w:pPr>
      <w:r>
        <w:t>3.</w:t>
      </w:r>
      <w:r>
        <w:tab/>
        <w:t>Мероприятия, позволяющие решить цели и задачи, проверяемой программы, реализованы в рамках других муниципальных программ и непрограммных расходах.</w:t>
      </w:r>
    </w:p>
    <w:p w:rsidR="00857EC6" w:rsidRDefault="00857EC6" w:rsidP="00031FFA">
      <w:pPr>
        <w:ind w:firstLine="709"/>
        <w:jc w:val="both"/>
      </w:pPr>
      <w:r>
        <w:lastRenderedPageBreak/>
        <w:t>4.</w:t>
      </w:r>
      <w:r>
        <w:tab/>
        <w:t>В нарушении п.4 Порядка №1455 мероприятия Программы дублируют мероприятия и расходы других Программ муниципального образования «Город Коряжма». Включение мероприятий, нарушая принцип четкого соответствия планируемых к реализации программных мероприятий целям и задачам муниципальной программы прив</w:t>
      </w:r>
      <w:r w:rsidR="001769C2">
        <w:t>ело</w:t>
      </w:r>
      <w:r>
        <w:t xml:space="preserve"> к нарушению принципа программно-целевого метода планирования бюджета.</w:t>
      </w:r>
    </w:p>
    <w:p w:rsidR="00857EC6" w:rsidRDefault="00857EC6" w:rsidP="00031FFA">
      <w:pPr>
        <w:ind w:firstLine="709"/>
        <w:jc w:val="both"/>
      </w:pPr>
      <w:r>
        <w:t>5.</w:t>
      </w:r>
      <w:r>
        <w:tab/>
        <w:t xml:space="preserve">Объем финансирования некоторых мероприятий не конкретизирован по учреждениям, а указан в целом, что привело к недостоверности планируемого объема финансирования. </w:t>
      </w:r>
    </w:p>
    <w:p w:rsidR="00857EC6" w:rsidRDefault="00857EC6" w:rsidP="00031FFA">
      <w:pPr>
        <w:ind w:firstLine="709"/>
        <w:jc w:val="both"/>
      </w:pPr>
      <w:r>
        <w:t>6.</w:t>
      </w:r>
      <w:r>
        <w:tab/>
        <w:t>В Программе не указано финансирование из внебюджетных источников.</w:t>
      </w:r>
    </w:p>
    <w:p w:rsidR="00857EC6" w:rsidRDefault="00857EC6" w:rsidP="00031FFA">
      <w:pPr>
        <w:ind w:firstLine="709"/>
        <w:jc w:val="both"/>
      </w:pPr>
      <w:r>
        <w:t>7.</w:t>
      </w:r>
      <w:r>
        <w:tab/>
        <w:t>В нарушении п.26 Порядка №1455 при изменении объемов финансирования Программа не приводилось в соответствии с решением о бюджете в установленные сроки</w:t>
      </w:r>
    </w:p>
    <w:p w:rsidR="00857EC6" w:rsidRDefault="00857EC6" w:rsidP="00031FFA">
      <w:pPr>
        <w:ind w:firstLine="709"/>
        <w:jc w:val="both"/>
      </w:pPr>
      <w:r>
        <w:t>8.</w:t>
      </w:r>
      <w:r>
        <w:tab/>
        <w:t>В Программе мероприятия организационно-профилактической работы указаны общими фразами без конкретизации наименований и количества, поэтому сделать вывод о полноте исполнения мероприятий по данному направлению невозможно.</w:t>
      </w:r>
    </w:p>
    <w:p w:rsidR="00857EC6" w:rsidRDefault="00857EC6" w:rsidP="00031FFA">
      <w:pPr>
        <w:ind w:firstLine="709"/>
        <w:jc w:val="both"/>
      </w:pPr>
      <w:r>
        <w:t>9.</w:t>
      </w:r>
      <w:r>
        <w:tab/>
        <w:t>Мероприятиями Программы, не предусмотрен монтаж тревожной кнопки в клубах «Парус», «Картинг», «</w:t>
      </w:r>
      <w:proofErr w:type="spellStart"/>
      <w:r>
        <w:t>Радиоконструирование</w:t>
      </w:r>
      <w:proofErr w:type="spellEnd"/>
      <w:r>
        <w:t xml:space="preserve">» на общую сумму 16,5 </w:t>
      </w:r>
      <w:proofErr w:type="spellStart"/>
      <w:r>
        <w:t>тыс.руб</w:t>
      </w:r>
      <w:proofErr w:type="spellEnd"/>
      <w:r>
        <w:t xml:space="preserve"> и монтаж системы оповещения в МОУ «СОШ №6» на суму </w:t>
      </w:r>
      <w:proofErr w:type="gramStart"/>
      <w:r>
        <w:t>121,3тыс.руб.</w:t>
      </w:r>
      <w:proofErr w:type="gramEnd"/>
      <w:r>
        <w:t xml:space="preserve"> Данные расходы включены в мероприятия с порядковым №2.1 «Установка системы экстренного оповещения».</w:t>
      </w:r>
    </w:p>
    <w:p w:rsidR="00857EC6" w:rsidRDefault="00857EC6" w:rsidP="00031FFA">
      <w:pPr>
        <w:ind w:firstLine="709"/>
        <w:jc w:val="both"/>
      </w:pPr>
      <w:r>
        <w:t>11.</w:t>
      </w:r>
      <w:r>
        <w:tab/>
        <w:t xml:space="preserve">В ходе анализа смет и актов о приемке выполненных работы по установке системы экстренного оповещения выявлено, что цены на материалы идентичны во всех учреждениях, но к стоимости монтажных работ и материалов в каждом учреждении применялась своя система скидок. </w:t>
      </w:r>
    </w:p>
    <w:p w:rsidR="00857EC6" w:rsidRDefault="00857EC6" w:rsidP="00031FFA">
      <w:pPr>
        <w:ind w:firstLine="709"/>
        <w:jc w:val="both"/>
      </w:pPr>
      <w:r>
        <w:t>12.</w:t>
      </w:r>
      <w:r>
        <w:tab/>
        <w:t>В нарушении п.11 Инструкции №157н имеет место нарушении хронологии при отражении первичных документов в регистрах бюджетного учета МОУ «СОШ №7». Так, акт о приемке выполненных работ №307 от 19.07.2021 был отражен в журнале операций №4 «Расчет</w:t>
      </w:r>
      <w:r w:rsidR="00FC713B">
        <w:t xml:space="preserve">ы с поставщиками и </w:t>
      </w:r>
      <w:r>
        <w:t>подрядчиками» за сентябрь 2021г.</w:t>
      </w:r>
    </w:p>
    <w:p w:rsidR="00857EC6" w:rsidRDefault="00857EC6" w:rsidP="00031FFA">
      <w:pPr>
        <w:ind w:firstLine="709"/>
        <w:jc w:val="both"/>
      </w:pPr>
      <w:r>
        <w:t>13.</w:t>
      </w:r>
      <w:r>
        <w:tab/>
        <w:t>Некорректная формулировка предмета контрактов</w:t>
      </w:r>
      <w:r w:rsidR="00FC713B">
        <w:t xml:space="preserve"> п</w:t>
      </w:r>
      <w:r>
        <w:t>ривела к нарушению Порядка применения классификации операций сектора государственного управления, утвержденного приказом Минфина России от 29.11.2017 N 209н (далее Порядок №209н). Вместо подстатьи 310 КОСГУ и</w:t>
      </w:r>
      <w:r w:rsidR="00FC713B">
        <w:t>спользована подстатья 226 КОСГУ.</w:t>
      </w:r>
    </w:p>
    <w:p w:rsidR="00857EC6" w:rsidRDefault="00857EC6" w:rsidP="00031FFA">
      <w:pPr>
        <w:ind w:firstLine="709"/>
        <w:jc w:val="both"/>
      </w:pPr>
      <w:r>
        <w:t>14.</w:t>
      </w:r>
      <w:r>
        <w:tab/>
        <w:t>В нарушении п.38 Инструкции №157н в МОУ «СОШ №5», МАОУ «МУК» система экстренного оповещения, созданная в результате выполнения работ, отвечающая условиям отнесения объектов к основным средствам, не принята к учету в составе основных средств, а списана на финансовый результат текущего года.</w:t>
      </w:r>
      <w:r w:rsidR="00FC713B">
        <w:t xml:space="preserve"> В ходе рассмотрения акта</w:t>
      </w:r>
      <w:r w:rsidR="00B77D05">
        <w:t xml:space="preserve"> система экстренного оповещения в </w:t>
      </w:r>
      <w:r w:rsidR="00FC713B">
        <w:t>МАОУ «МУК»</w:t>
      </w:r>
      <w:r w:rsidR="00B77D05">
        <w:t xml:space="preserve"> поставлена на учет.</w:t>
      </w:r>
    </w:p>
    <w:p w:rsidR="00857EC6" w:rsidRDefault="00857EC6" w:rsidP="00031FFA">
      <w:pPr>
        <w:ind w:firstLine="709"/>
        <w:jc w:val="both"/>
      </w:pPr>
      <w:r>
        <w:t>15.</w:t>
      </w:r>
      <w:r>
        <w:tab/>
        <w:t xml:space="preserve">В нарушение раздела 3 Указания №52н в МОУ «СОШ №2,7» в инвентарной </w:t>
      </w:r>
      <w:r w:rsidR="00FC713B">
        <w:t>карточке системы</w:t>
      </w:r>
      <w:r>
        <w:t xml:space="preserve"> экстренного оповещения отсутствует краткая индивидуальная характеристика объекта основного средства. Имеют место неточности при описании объекта в разделе 5 инвентарных карточек систем экстренного оповещения в МДОУ №2,12,13,14.</w:t>
      </w:r>
      <w:r w:rsidR="00422C88">
        <w:t xml:space="preserve"> В х</w:t>
      </w:r>
      <w:r w:rsidR="00E054AA">
        <w:t xml:space="preserve">оде рассмотрения акта проверки </w:t>
      </w:r>
      <w:r w:rsidR="00422C88">
        <w:t xml:space="preserve">внесены изменения и дополнения в инвентарные </w:t>
      </w:r>
      <w:r w:rsidR="00FC713B">
        <w:t>карточки системы</w:t>
      </w:r>
      <w:r w:rsidR="00422C88">
        <w:t xml:space="preserve"> экстренного оповещения в МОУ «СОШ №7», МДОУ №2,12,13,14.</w:t>
      </w:r>
    </w:p>
    <w:p w:rsidR="00857EC6" w:rsidRDefault="00857EC6" w:rsidP="00031FFA">
      <w:pPr>
        <w:ind w:firstLine="709"/>
        <w:jc w:val="both"/>
      </w:pPr>
      <w:r>
        <w:t>16.</w:t>
      </w:r>
      <w:r>
        <w:tab/>
        <w:t xml:space="preserve">В нарушении </w:t>
      </w:r>
      <w:proofErr w:type="spellStart"/>
      <w:r>
        <w:t>п.п</w:t>
      </w:r>
      <w:proofErr w:type="spellEnd"/>
      <w:r>
        <w:t xml:space="preserve">. «а» п.35 СГС «Основные средства» и п.44 Инструкции №157н неверно определена амортизационная группа, а значит и срок полезного </w:t>
      </w:r>
      <w:r w:rsidR="00F344AA">
        <w:t>использования системы</w:t>
      </w:r>
      <w:r w:rsidR="00B77D05">
        <w:t xml:space="preserve"> экстренного оповещения в МДОУ №1,2,5,12,13</w:t>
      </w:r>
      <w:r w:rsidR="00F344AA">
        <w:t xml:space="preserve">,17,18, система контроля и  управления доступом в МДОУ №14,17, системы видеонаблюдения в МДОУ №17. </w:t>
      </w:r>
      <w:r w:rsidR="00031FFA">
        <w:t>Нарушения устранены</w:t>
      </w:r>
      <w:r w:rsidR="00F344AA">
        <w:t xml:space="preserve"> в ходе рассмотрения акта.</w:t>
      </w:r>
    </w:p>
    <w:p w:rsidR="00857EC6" w:rsidRDefault="00857EC6" w:rsidP="00031FFA">
      <w:pPr>
        <w:ind w:firstLine="709"/>
        <w:jc w:val="both"/>
      </w:pPr>
      <w:r>
        <w:t>17.</w:t>
      </w:r>
      <w:r>
        <w:tab/>
        <w:t xml:space="preserve">В нарушении </w:t>
      </w:r>
      <w:proofErr w:type="spellStart"/>
      <w:r>
        <w:t>пп</w:t>
      </w:r>
      <w:proofErr w:type="spellEnd"/>
      <w:r>
        <w:t>. "а" п. 35 СГС «Основные средства» амортизация системы экстренного оповещения в МОУ «СОШ №2» рассчитывается не в соответствии с максимальным сроком полезного использования.</w:t>
      </w:r>
    </w:p>
    <w:p w:rsidR="00857EC6" w:rsidRDefault="00857EC6" w:rsidP="00031FFA">
      <w:pPr>
        <w:ind w:firstLine="709"/>
        <w:jc w:val="both"/>
      </w:pPr>
      <w:r>
        <w:t>18.</w:t>
      </w:r>
      <w:r>
        <w:tab/>
        <w:t>В нарушении п.85 Инструкции 157н следствием неправильного определения срока полезного использования стало неправильное начисление амортизации</w:t>
      </w:r>
      <w:r w:rsidR="00F344AA">
        <w:t xml:space="preserve"> системы экстренного оповещения в МДОУ №1,</w:t>
      </w:r>
      <w:r w:rsidR="000726F0">
        <w:t>2,5,13,</w:t>
      </w:r>
      <w:r w:rsidR="00F344AA">
        <w:t xml:space="preserve"> МОУ СОШ №2»</w:t>
      </w:r>
      <w:r w:rsidR="000726F0">
        <w:t xml:space="preserve">, системы контроля и </w:t>
      </w:r>
      <w:r w:rsidR="000726F0">
        <w:lastRenderedPageBreak/>
        <w:t>управления доступом в МДОУ №14. В ходе рассмотрения акта в МДОУ 1,2,5,13,14 сделаны исправления начисления амортизации.</w:t>
      </w:r>
    </w:p>
    <w:p w:rsidR="00857EC6" w:rsidRDefault="00857EC6" w:rsidP="00031FFA">
      <w:pPr>
        <w:ind w:firstLine="709"/>
        <w:jc w:val="both"/>
      </w:pPr>
      <w:r>
        <w:t>19.</w:t>
      </w:r>
      <w:r>
        <w:tab/>
        <w:t>В нарушении п.27 Инструкции №157н в инвентарной карточке нет отметки о проведенном ремонте (ФДОД ДДТ)</w:t>
      </w:r>
      <w:r w:rsidR="005411BD">
        <w:t>.</w:t>
      </w:r>
      <w:r w:rsidR="00E054AA">
        <w:t xml:space="preserve"> Исправления сделаны в ходе рассмотрения акта.</w:t>
      </w:r>
    </w:p>
    <w:p w:rsidR="00857EC6" w:rsidRDefault="00857EC6" w:rsidP="00031FFA">
      <w:pPr>
        <w:ind w:firstLine="709"/>
        <w:jc w:val="both"/>
      </w:pPr>
      <w:r>
        <w:t>20.</w:t>
      </w:r>
      <w:r>
        <w:tab/>
      </w:r>
      <w:proofErr w:type="gramStart"/>
      <w:r>
        <w:t>В</w:t>
      </w:r>
      <w:proofErr w:type="gramEnd"/>
      <w:r>
        <w:t xml:space="preserve"> нарушении п.54 Инструкции №157н двум объектам основных средств присвоен один инвентарный номер и заведена одна инвентарная карточка (ФДОД ДДТ).</w:t>
      </w:r>
      <w:r w:rsidR="00E054AA">
        <w:t xml:space="preserve">  Исправления сделаны в ходе рассмотрения акта. </w:t>
      </w:r>
    </w:p>
    <w:p w:rsidR="00857EC6" w:rsidRDefault="00857EC6" w:rsidP="00031FFA">
      <w:pPr>
        <w:ind w:firstLine="709"/>
        <w:jc w:val="both"/>
      </w:pPr>
      <w:r>
        <w:t>21.</w:t>
      </w:r>
      <w:r>
        <w:tab/>
        <w:t>В ходе проверки системы видеонаблюдения МДОУ №17, выявлено, что в инвентарной карточке № 863 отсутствует информация о мониторе и видеорегистраторе, входящих в состав системы.</w:t>
      </w:r>
      <w:r w:rsidR="003B14FA" w:rsidRPr="003B14FA">
        <w:t xml:space="preserve"> Исправления сделаны в ходе рассмотрения акта.</w:t>
      </w:r>
    </w:p>
    <w:p w:rsidR="00857EC6" w:rsidRDefault="00857EC6" w:rsidP="00031FFA">
      <w:pPr>
        <w:ind w:firstLine="709"/>
        <w:jc w:val="both"/>
      </w:pPr>
      <w:r>
        <w:t>22.</w:t>
      </w:r>
      <w:r>
        <w:tab/>
        <w:t xml:space="preserve"> Согласно актам о приемке выполненных работ № 74, 75 от 27.08.2021г. в МДОУ №17 в здании по ул. Кирова, д.4 и по ул. Гоголя д.15 должны быть установлены громкоговорители настенные РА10 (по 9 шт. в каждом здании). В ходе осмотра системы экстренного оповещения, выявлено, что не все установленные громкоговорители соответствуют заявленной модификации.</w:t>
      </w:r>
      <w:r w:rsidR="00A5324C">
        <w:t xml:space="preserve"> </w:t>
      </w:r>
      <w:r w:rsidR="00031FFA">
        <w:t>При рассмотрении</w:t>
      </w:r>
      <w:r w:rsidR="00A5324C">
        <w:t xml:space="preserve"> акта пояснено, что в ходе работы по установке системы экстренного оповещения для улучшения качества звуковоспроизведения и обеспечения необходимого уровня громкости во всех помещениях было установлено дополнительное количество громкоговорител</w:t>
      </w:r>
      <w:r w:rsidR="00B72A02">
        <w:t>е</w:t>
      </w:r>
      <w:r w:rsidR="00A5324C">
        <w:t xml:space="preserve">й </w:t>
      </w:r>
      <w:r w:rsidR="00B72A02">
        <w:t>(вместо 18 смонтирован</w:t>
      </w:r>
      <w:r w:rsidR="00A5324C">
        <w:t xml:space="preserve"> 21 </w:t>
      </w:r>
      <w:r w:rsidR="00031FFA">
        <w:t>громкоговоритель</w:t>
      </w:r>
      <w:r w:rsidR="00A5324C">
        <w:t>).</w:t>
      </w:r>
      <w:r w:rsidR="00050582">
        <w:t xml:space="preserve"> Кроме того, </w:t>
      </w:r>
      <w:r w:rsidR="00B1622B">
        <w:t xml:space="preserve">установлены </w:t>
      </w:r>
      <w:r w:rsidR="00031FFA" w:rsidRPr="00031FFA">
        <w:t>громкоговорител</w:t>
      </w:r>
      <w:r w:rsidR="00031FFA">
        <w:t>и</w:t>
      </w:r>
      <w:r w:rsidR="00B1622B">
        <w:t xml:space="preserve"> </w:t>
      </w:r>
      <w:r w:rsidR="00050582">
        <w:t xml:space="preserve">с </w:t>
      </w:r>
      <w:r w:rsidR="00050582" w:rsidRPr="00050582">
        <w:t>улучшенными</w:t>
      </w:r>
      <w:r w:rsidR="00050582">
        <w:t xml:space="preserve"> характеристиками</w:t>
      </w:r>
      <w:r w:rsidR="00050582" w:rsidRPr="00050582">
        <w:t xml:space="preserve"> по сравнени</w:t>
      </w:r>
      <w:r w:rsidR="00050582">
        <w:t>ю с</w:t>
      </w:r>
      <w:r w:rsidR="00050582" w:rsidRPr="00050582">
        <w:t xml:space="preserve"> техническими и функциональными характери</w:t>
      </w:r>
      <w:r w:rsidR="00050582">
        <w:t>стиками, указан</w:t>
      </w:r>
      <w:r w:rsidR="00B1622B">
        <w:t xml:space="preserve">ными в контракте без изменения </w:t>
      </w:r>
      <w:r w:rsidR="00050582">
        <w:t xml:space="preserve">цены </w:t>
      </w:r>
      <w:r w:rsidR="00B1622B">
        <w:t>контракта.</w:t>
      </w:r>
    </w:p>
    <w:p w:rsidR="00857EC6" w:rsidRDefault="00857EC6" w:rsidP="00031FFA">
      <w:pPr>
        <w:ind w:firstLine="709"/>
        <w:jc w:val="both"/>
      </w:pPr>
      <w:r>
        <w:t>23.</w:t>
      </w:r>
      <w:r>
        <w:tab/>
        <w:t>При заключении контрактов учреждения руководствовались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857EC6" w:rsidRDefault="00857EC6" w:rsidP="00031FFA">
      <w:pPr>
        <w:ind w:firstLine="709"/>
        <w:jc w:val="both"/>
      </w:pPr>
      <w:r>
        <w:t>24.</w:t>
      </w:r>
      <w:r>
        <w:tab/>
      </w:r>
      <w:proofErr w:type="gramStart"/>
      <w:r>
        <w:t>В</w:t>
      </w:r>
      <w:proofErr w:type="gramEnd"/>
      <w:r>
        <w:t xml:space="preserve"> нарушении ч.1 ст.23 Закона №44-ФЗ в контрактах, заключенных для реализации мероприятий Программы, не проставлен ИКЗ. Данное нарушение выявлено в МДОУ №1, 12,14,17, МОУ «СОШ №1,5,7».</w:t>
      </w:r>
    </w:p>
    <w:p w:rsidR="00857EC6" w:rsidRDefault="00857EC6" w:rsidP="00031FFA">
      <w:pPr>
        <w:ind w:firstLine="709"/>
        <w:jc w:val="both"/>
      </w:pPr>
      <w:r>
        <w:t>25.</w:t>
      </w:r>
      <w:r>
        <w:tab/>
        <w:t>В нарушении ч.13.1 ст.34 Закона №44-ФЗ в контрактах, заключенных для реализации мероприятий Программы, не указан срок и порядок оплаты. Данное нарушение выявлено в МДОУ №12,14, МОУ «СОШ №1,5»</w:t>
      </w:r>
      <w:r w:rsidR="003B14FA">
        <w:t>.</w:t>
      </w:r>
    </w:p>
    <w:p w:rsidR="00857EC6" w:rsidRDefault="00857EC6" w:rsidP="00031FFA">
      <w:pPr>
        <w:ind w:firstLine="709"/>
        <w:jc w:val="both"/>
      </w:pPr>
      <w:r>
        <w:t>26.</w:t>
      </w:r>
      <w:r>
        <w:tab/>
        <w:t>В нарушении ч.13.1 ст.34 Закона №44-ФЗ в контракте</w:t>
      </w:r>
      <w:r w:rsidR="00031FFA">
        <w:t>,</w:t>
      </w:r>
      <w:r>
        <w:t xml:space="preserve"> закл</w:t>
      </w:r>
      <w:r w:rsidR="00031FFA">
        <w:t>юченно</w:t>
      </w:r>
      <w:r>
        <w:t>м между ИП Симоновым М.В. и МДОУ №13 от 05.08.2021г. №213/20</w:t>
      </w:r>
      <w:r w:rsidR="00031FFA">
        <w:t>,</w:t>
      </w:r>
      <w:r>
        <w:t xml:space="preserve"> не указан</w:t>
      </w:r>
      <w:r w:rsidR="00031FFA">
        <w:t>ы</w:t>
      </w:r>
      <w:r>
        <w:t xml:space="preserve"> сроки и порядок оплаты. В соответствии с п.13.1 ст.34 Закона №44-ФЗ срок оплаты заказчиком поставленного товара, выполненной работы (ее результатов), оказанной услуги, отдельных этапов исполнения контракта должен составлять не более тридцати дней с даты подписания заказчиком документа о приемке. Работы были выполнены 17.08.2021г. о чем свидетельствует акт о приемке выполненных работ №13 от 17.08.2021. Таким образом, оплата Заказчиком должна быть произведена до 16.09.2021г. Фактически оплата произведена 05.10.2021г., т.е. позднее срока, установленного Законом №44-ФЗ.</w:t>
      </w:r>
    </w:p>
    <w:p w:rsidR="00857EC6" w:rsidRDefault="00857EC6" w:rsidP="00031FFA">
      <w:pPr>
        <w:ind w:firstLine="709"/>
        <w:jc w:val="both"/>
      </w:pPr>
      <w:r>
        <w:t>27.</w:t>
      </w:r>
      <w:r>
        <w:tab/>
        <w:t>В нарушении ч.13.1 ст.34 Закон</w:t>
      </w:r>
      <w:r w:rsidR="00031FFA">
        <w:t>а №44-ФЗ в контракте, заключенном</w:t>
      </w:r>
      <w:r>
        <w:t xml:space="preserve"> между ИП Симоновым М.В. и МДОУ №18 от 02.08.2021г. №218/21</w:t>
      </w:r>
      <w:r w:rsidR="00031FFA">
        <w:t>,</w:t>
      </w:r>
      <w:r>
        <w:t xml:space="preserve"> срок оплаты не соответст</w:t>
      </w:r>
      <w:r w:rsidR="00D02F22">
        <w:t>вует требованиям Закона №44-ФЗ - в</w:t>
      </w:r>
      <w:r>
        <w:t>место 30 дней, указан 30 рабочих дней</w:t>
      </w:r>
      <w:r w:rsidR="00D02F22">
        <w:t>.</w:t>
      </w:r>
      <w:r>
        <w:t xml:space="preserve"> </w:t>
      </w:r>
      <w:r w:rsidR="00D02F22">
        <w:t>В контракте, заключенном</w:t>
      </w:r>
      <w:r>
        <w:t xml:space="preserve"> между ООО «Гарант-Защита» и МОУ «СОШ №2» от 08.07.2021 №302/20 указан срок оплаты, не соответствующий требованиям Закона №44-ФЗ</w:t>
      </w:r>
      <w:r w:rsidR="00C5192C">
        <w:t xml:space="preserve"> </w:t>
      </w:r>
      <w:r>
        <w:t>- вместо 30дней, указано 30 банковских дней.</w:t>
      </w:r>
    </w:p>
    <w:p w:rsidR="00857EC6" w:rsidRDefault="00857EC6" w:rsidP="00031FFA">
      <w:pPr>
        <w:ind w:firstLine="709"/>
        <w:jc w:val="both"/>
      </w:pPr>
      <w:r>
        <w:t>28.</w:t>
      </w:r>
      <w:r>
        <w:tab/>
        <w:t>В нарушении ч. 3 ст. 94 Закона N 44-ФЗ для проверки предоставленных поставщиком (подрядчиком, исполнителем) результатов, предусмотренных контрактом, в части их соответствия условиям контракта заказчиком не проведена экспертиза. Данное н</w:t>
      </w:r>
      <w:r w:rsidR="00387F36">
        <w:t>арушение выявлено в МДОУ №</w:t>
      </w:r>
      <w:r>
        <w:t>17 (устранено в ходе проверки), МОУ «СОШ №1,2,5,6».</w:t>
      </w:r>
    </w:p>
    <w:p w:rsidR="00857EC6" w:rsidRDefault="00857EC6" w:rsidP="00031FFA">
      <w:pPr>
        <w:ind w:firstLine="709"/>
        <w:jc w:val="both"/>
      </w:pPr>
      <w:r>
        <w:t>29.</w:t>
      </w:r>
      <w:r>
        <w:tab/>
        <w:t xml:space="preserve">Представленный отчет по реализации Программы не соответствует требованиям Порядка №1455. </w:t>
      </w:r>
    </w:p>
    <w:p w:rsidR="00857EC6" w:rsidRDefault="00857EC6" w:rsidP="00031FFA">
      <w:pPr>
        <w:ind w:firstLine="709"/>
        <w:jc w:val="both"/>
      </w:pPr>
      <w:r>
        <w:lastRenderedPageBreak/>
        <w:t>31.</w:t>
      </w:r>
      <w:r>
        <w:tab/>
        <w:t>В нарушении п. 42 Порядка № 1455 в информации отсутствует расчет итоговой оценки эффективности и присвоение рейтинга эффективности программы, который осуществляется на основании критериев, их весовых значений и бальных оценок.</w:t>
      </w:r>
    </w:p>
    <w:p w:rsidR="00857EC6" w:rsidRDefault="00857EC6" w:rsidP="00031FFA">
      <w:pPr>
        <w:ind w:firstLine="709"/>
        <w:jc w:val="both"/>
      </w:pPr>
      <w:r>
        <w:t>32.</w:t>
      </w:r>
      <w:r>
        <w:tab/>
        <w:t>Не сделан вывод об эффективности реализации программы, который оформляется заключением к отчету о реализации Программы.</w:t>
      </w:r>
    </w:p>
    <w:p w:rsidR="00857EC6" w:rsidRDefault="00857EC6" w:rsidP="00031FFA">
      <w:pPr>
        <w:ind w:firstLine="709"/>
        <w:jc w:val="both"/>
      </w:pPr>
      <w:r>
        <w:t>33.</w:t>
      </w:r>
      <w:r>
        <w:tab/>
        <w:t>Итоговая оценка эффективности Программы по данным проверки составила 4,7 балла, что говорит о низкой эффективности реализации Программы.</w:t>
      </w:r>
    </w:p>
    <w:p w:rsidR="004B5486" w:rsidRDefault="004B5486" w:rsidP="00031FFA">
      <w:pPr>
        <w:ind w:firstLine="709"/>
        <w:jc w:val="both"/>
      </w:pPr>
    </w:p>
    <w:p w:rsidR="004B5486" w:rsidRDefault="004B5486" w:rsidP="00031FFA">
      <w:pPr>
        <w:ind w:firstLine="709"/>
        <w:jc w:val="both"/>
      </w:pPr>
    </w:p>
    <w:p w:rsidR="004B5486" w:rsidRDefault="004B5486" w:rsidP="004B5486">
      <w:pPr>
        <w:jc w:val="both"/>
      </w:pPr>
      <w:r>
        <w:t xml:space="preserve"> Инспектор контрольно-счетной палаты                                                                </w:t>
      </w:r>
      <w:proofErr w:type="spellStart"/>
      <w:r>
        <w:t>С.И.Протопопова</w:t>
      </w:r>
      <w:proofErr w:type="spellEnd"/>
      <w:r>
        <w:t xml:space="preserve"> </w:t>
      </w:r>
      <w:bookmarkStart w:id="0" w:name="_GoBack"/>
      <w:bookmarkEnd w:id="0"/>
    </w:p>
    <w:p w:rsidR="003C58DB" w:rsidRDefault="003C58DB" w:rsidP="00031FFA">
      <w:pPr>
        <w:ind w:firstLine="709"/>
        <w:jc w:val="both"/>
      </w:pPr>
    </w:p>
    <w:sectPr w:rsidR="003C58DB" w:rsidSect="00031FF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7C"/>
    <w:rsid w:val="00031FFA"/>
    <w:rsid w:val="00050582"/>
    <w:rsid w:val="0006333D"/>
    <w:rsid w:val="000726F0"/>
    <w:rsid w:val="000F77A1"/>
    <w:rsid w:val="001769C2"/>
    <w:rsid w:val="001D4670"/>
    <w:rsid w:val="00387F36"/>
    <w:rsid w:val="003B14FA"/>
    <w:rsid w:val="003C58DB"/>
    <w:rsid w:val="00422C88"/>
    <w:rsid w:val="004B5486"/>
    <w:rsid w:val="005411BD"/>
    <w:rsid w:val="0079501C"/>
    <w:rsid w:val="00857EC6"/>
    <w:rsid w:val="008B5C4E"/>
    <w:rsid w:val="00A5324C"/>
    <w:rsid w:val="00B1622B"/>
    <w:rsid w:val="00B5704E"/>
    <w:rsid w:val="00B72A02"/>
    <w:rsid w:val="00B77D05"/>
    <w:rsid w:val="00BB08BD"/>
    <w:rsid w:val="00C5192C"/>
    <w:rsid w:val="00C51FA3"/>
    <w:rsid w:val="00D02F22"/>
    <w:rsid w:val="00D3657C"/>
    <w:rsid w:val="00DE4260"/>
    <w:rsid w:val="00E054AA"/>
    <w:rsid w:val="00F344AA"/>
    <w:rsid w:val="00F931CB"/>
    <w:rsid w:val="00FC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2E625-5A85-4B5A-8899-8E2D7E59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9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2022-08-23T08:09:00Z</dcterms:created>
  <dcterms:modified xsi:type="dcterms:W3CDTF">2022-08-25T12:58:00Z</dcterms:modified>
</cp:coreProperties>
</file>