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D70" w:rsidRPr="009C7E68" w:rsidRDefault="00E22D70" w:rsidP="00E22D7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Отчет №</w:t>
      </w:r>
      <w:r w:rsidR="00EF5976">
        <w:rPr>
          <w:rFonts w:ascii="Times New Roman" w:eastAsia="Times New Roman" w:hAnsi="Times New Roman" w:cs="Times New Roman"/>
          <w:b/>
          <w:sz w:val="28"/>
          <w:szCs w:val="28"/>
          <w:lang w:eastAsia="ru-RU"/>
        </w:rPr>
        <w:t>01-12/6</w:t>
      </w:r>
    </w:p>
    <w:p w:rsidR="00E22D70" w:rsidRPr="009C7E68" w:rsidRDefault="00E22D70" w:rsidP="00E22D70">
      <w:pPr>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по </w:t>
      </w:r>
      <w:proofErr w:type="gramStart"/>
      <w:r>
        <w:rPr>
          <w:rFonts w:ascii="Times New Roman" w:eastAsia="Times New Roman" w:hAnsi="Times New Roman" w:cs="Times New Roman"/>
          <w:b/>
          <w:sz w:val="28"/>
          <w:szCs w:val="24"/>
          <w:lang w:eastAsia="ru-RU"/>
        </w:rPr>
        <w:t>результатам  п</w:t>
      </w:r>
      <w:r w:rsidRPr="009C7E68">
        <w:rPr>
          <w:rFonts w:ascii="Times New Roman" w:eastAsia="Times New Roman" w:hAnsi="Times New Roman" w:cs="Times New Roman"/>
          <w:b/>
          <w:sz w:val="28"/>
          <w:szCs w:val="24"/>
          <w:lang w:eastAsia="ru-RU"/>
        </w:rPr>
        <w:t>роверк</w:t>
      </w:r>
      <w:r>
        <w:rPr>
          <w:rFonts w:ascii="Times New Roman" w:eastAsia="Times New Roman" w:hAnsi="Times New Roman" w:cs="Times New Roman"/>
          <w:b/>
          <w:sz w:val="28"/>
          <w:szCs w:val="24"/>
          <w:lang w:eastAsia="ru-RU"/>
        </w:rPr>
        <w:t>и</w:t>
      </w:r>
      <w:proofErr w:type="gramEnd"/>
      <w:r>
        <w:rPr>
          <w:rFonts w:ascii="Times New Roman" w:eastAsia="Times New Roman" w:hAnsi="Times New Roman" w:cs="Times New Roman"/>
          <w:b/>
          <w:sz w:val="28"/>
          <w:szCs w:val="24"/>
          <w:lang w:eastAsia="ru-RU"/>
        </w:rPr>
        <w:t xml:space="preserve"> </w:t>
      </w:r>
      <w:r w:rsidRPr="009C7E68">
        <w:rPr>
          <w:rFonts w:ascii="Times New Roman" w:eastAsia="Times New Roman" w:hAnsi="Times New Roman" w:cs="Times New Roman"/>
          <w:b/>
          <w:sz w:val="28"/>
          <w:szCs w:val="24"/>
          <w:lang w:eastAsia="ru-RU"/>
        </w:rPr>
        <w:t>полноты</w:t>
      </w:r>
      <w:r>
        <w:rPr>
          <w:rFonts w:ascii="Times New Roman" w:eastAsia="Times New Roman" w:hAnsi="Times New Roman" w:cs="Times New Roman"/>
          <w:b/>
          <w:sz w:val="28"/>
          <w:szCs w:val="24"/>
          <w:lang w:eastAsia="ru-RU"/>
        </w:rPr>
        <w:t xml:space="preserve"> и правильности</w:t>
      </w:r>
      <w:r w:rsidRPr="009C7E68">
        <w:rPr>
          <w:rFonts w:ascii="Times New Roman" w:eastAsia="Times New Roman" w:hAnsi="Times New Roman" w:cs="Times New Roman"/>
          <w:b/>
          <w:sz w:val="28"/>
          <w:szCs w:val="24"/>
          <w:lang w:eastAsia="ru-RU"/>
        </w:rPr>
        <w:t xml:space="preserve"> формирования</w:t>
      </w:r>
    </w:p>
    <w:p w:rsidR="00E22D70" w:rsidRPr="009C7E68" w:rsidRDefault="00E22D70" w:rsidP="00E22D70">
      <w:pPr>
        <w:spacing w:after="0" w:line="240" w:lineRule="auto"/>
        <w:jc w:val="center"/>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lang w:eastAsia="ru-RU"/>
        </w:rPr>
        <w:t xml:space="preserve">доходов от сдачи в аренду имущества, составляющего государственную (муниципальную) казну (за исключением земельных участков) </w:t>
      </w:r>
    </w:p>
    <w:p w:rsidR="00E22D70" w:rsidRPr="009C7E68" w:rsidRDefault="00E22D70" w:rsidP="00E22D70">
      <w:pPr>
        <w:spacing w:after="0" w:line="240" w:lineRule="auto"/>
        <w:jc w:val="center"/>
        <w:rPr>
          <w:rFonts w:ascii="Times New Roman" w:eastAsia="Times New Roman" w:hAnsi="Times New Roman" w:cs="Times New Roman"/>
          <w:b/>
          <w:sz w:val="24"/>
          <w:szCs w:val="24"/>
          <w:lang w:eastAsia="ru-RU"/>
        </w:rPr>
      </w:pPr>
    </w:p>
    <w:p w:rsidR="00E22D70" w:rsidRPr="009C7E68" w:rsidRDefault="00E22D70" w:rsidP="00E22D70">
      <w:pPr>
        <w:spacing w:after="0" w:line="240" w:lineRule="auto"/>
        <w:jc w:val="center"/>
        <w:rPr>
          <w:rFonts w:ascii="Times New Roman" w:eastAsia="Times New Roman" w:hAnsi="Times New Roman" w:cs="Times New Roman"/>
          <w:sz w:val="24"/>
          <w:szCs w:val="24"/>
          <w:lang w:eastAsia="ru-RU"/>
        </w:rPr>
      </w:pPr>
    </w:p>
    <w:p w:rsidR="00E22D70" w:rsidRPr="009C7E68" w:rsidRDefault="00E22D70" w:rsidP="00E22D70">
      <w:pPr>
        <w:tabs>
          <w:tab w:val="left" w:pos="1800"/>
        </w:tabs>
        <w:suppressAutoHyphens/>
        <w:autoSpaceDE w:val="0"/>
        <w:spacing w:after="0" w:line="240" w:lineRule="auto"/>
        <w:ind w:firstLine="540"/>
        <w:jc w:val="both"/>
        <w:rPr>
          <w:rFonts w:ascii="Times New Roman" w:eastAsia="Times New Roman" w:hAnsi="Times New Roman" w:cs="Times New Roman"/>
          <w:sz w:val="28"/>
          <w:szCs w:val="28"/>
          <w:lang w:eastAsia="ar-SA"/>
        </w:rPr>
      </w:pPr>
    </w:p>
    <w:p w:rsidR="00E22D70" w:rsidRPr="009C7E68" w:rsidRDefault="00E22D70" w:rsidP="00E22D70">
      <w:pPr>
        <w:tabs>
          <w:tab w:val="left" w:pos="1800"/>
        </w:tabs>
        <w:suppressAutoHyphens/>
        <w:autoSpaceDE w:val="0"/>
        <w:spacing w:after="0" w:line="240" w:lineRule="auto"/>
        <w:jc w:val="both"/>
        <w:rPr>
          <w:rFonts w:ascii="Times New Roman" w:eastAsia="Times New Roman" w:hAnsi="Times New Roman" w:cs="Times New Roman"/>
          <w:sz w:val="26"/>
          <w:szCs w:val="26"/>
          <w:lang w:eastAsia="ar-SA"/>
        </w:rPr>
      </w:pPr>
      <w:r w:rsidRPr="009C7E68">
        <w:rPr>
          <w:rFonts w:ascii="Times New Roman" w:eastAsia="Times New Roman" w:hAnsi="Times New Roman" w:cs="Times New Roman"/>
          <w:sz w:val="26"/>
          <w:szCs w:val="26"/>
          <w:lang w:eastAsia="ar-SA"/>
        </w:rPr>
        <w:t xml:space="preserve">г. Коряжма                                                                 </w:t>
      </w:r>
      <w:r w:rsidR="009C0069">
        <w:rPr>
          <w:rFonts w:ascii="Times New Roman" w:eastAsia="Times New Roman" w:hAnsi="Times New Roman" w:cs="Times New Roman"/>
          <w:sz w:val="26"/>
          <w:szCs w:val="26"/>
          <w:lang w:eastAsia="ar-SA"/>
        </w:rPr>
        <w:t xml:space="preserve"> </w:t>
      </w:r>
      <w:r w:rsidRPr="009C7E68">
        <w:rPr>
          <w:rFonts w:ascii="Times New Roman" w:eastAsia="Times New Roman" w:hAnsi="Times New Roman" w:cs="Times New Roman"/>
          <w:sz w:val="26"/>
          <w:szCs w:val="26"/>
          <w:lang w:eastAsia="ar-SA"/>
        </w:rPr>
        <w:t xml:space="preserve">   </w:t>
      </w:r>
      <w:r w:rsidR="001A55A9">
        <w:rPr>
          <w:rFonts w:ascii="Times New Roman" w:eastAsia="Times New Roman" w:hAnsi="Times New Roman" w:cs="Times New Roman"/>
          <w:sz w:val="26"/>
          <w:szCs w:val="26"/>
          <w:lang w:eastAsia="ar-SA"/>
        </w:rPr>
        <w:t xml:space="preserve">    </w:t>
      </w:r>
      <w:r w:rsidRPr="009C7E68">
        <w:rPr>
          <w:rFonts w:ascii="Times New Roman" w:eastAsia="Times New Roman" w:hAnsi="Times New Roman" w:cs="Times New Roman"/>
          <w:sz w:val="26"/>
          <w:szCs w:val="26"/>
          <w:lang w:eastAsia="ar-SA"/>
        </w:rPr>
        <w:t xml:space="preserve">           </w:t>
      </w:r>
      <w:r w:rsidR="001A55A9">
        <w:rPr>
          <w:rFonts w:ascii="Times New Roman" w:eastAsia="Times New Roman" w:hAnsi="Times New Roman" w:cs="Times New Roman"/>
          <w:sz w:val="26"/>
          <w:szCs w:val="26"/>
          <w:lang w:eastAsia="ar-SA"/>
        </w:rPr>
        <w:t xml:space="preserve"> </w:t>
      </w:r>
      <w:r w:rsidRPr="009C7E68">
        <w:rPr>
          <w:rFonts w:ascii="Times New Roman" w:eastAsia="Times New Roman" w:hAnsi="Times New Roman" w:cs="Times New Roman"/>
          <w:sz w:val="26"/>
          <w:szCs w:val="26"/>
          <w:lang w:eastAsia="ar-SA"/>
        </w:rPr>
        <w:t>«</w:t>
      </w:r>
      <w:r w:rsidR="001A55A9">
        <w:rPr>
          <w:rFonts w:ascii="Times New Roman" w:eastAsia="Times New Roman" w:hAnsi="Times New Roman" w:cs="Times New Roman"/>
          <w:sz w:val="26"/>
          <w:szCs w:val="26"/>
          <w:lang w:eastAsia="ar-SA"/>
        </w:rPr>
        <w:t>04</w:t>
      </w:r>
      <w:r w:rsidRPr="009C7E68">
        <w:rPr>
          <w:rFonts w:ascii="Times New Roman" w:eastAsia="Times New Roman" w:hAnsi="Times New Roman" w:cs="Times New Roman"/>
          <w:sz w:val="26"/>
          <w:szCs w:val="26"/>
          <w:lang w:eastAsia="ar-SA"/>
        </w:rPr>
        <w:t xml:space="preserve">» </w:t>
      </w:r>
      <w:r>
        <w:rPr>
          <w:rFonts w:ascii="Times New Roman" w:eastAsia="Times New Roman" w:hAnsi="Times New Roman" w:cs="Times New Roman"/>
          <w:sz w:val="26"/>
          <w:szCs w:val="26"/>
          <w:lang w:eastAsia="ar-SA"/>
        </w:rPr>
        <w:t xml:space="preserve">апреля </w:t>
      </w:r>
      <w:r w:rsidRPr="009C7E68">
        <w:rPr>
          <w:rFonts w:ascii="Times New Roman" w:eastAsia="Times New Roman" w:hAnsi="Times New Roman" w:cs="Times New Roman"/>
          <w:sz w:val="26"/>
          <w:szCs w:val="26"/>
          <w:lang w:eastAsia="ar-SA"/>
        </w:rPr>
        <w:t>20</w:t>
      </w:r>
      <w:r>
        <w:rPr>
          <w:rFonts w:ascii="Times New Roman" w:eastAsia="Times New Roman" w:hAnsi="Times New Roman" w:cs="Times New Roman"/>
          <w:sz w:val="26"/>
          <w:szCs w:val="26"/>
          <w:lang w:eastAsia="ar-SA"/>
        </w:rPr>
        <w:t>22</w:t>
      </w:r>
      <w:r w:rsidRPr="009C7E68">
        <w:rPr>
          <w:rFonts w:ascii="Times New Roman" w:eastAsia="Times New Roman" w:hAnsi="Times New Roman" w:cs="Times New Roman"/>
          <w:sz w:val="26"/>
          <w:szCs w:val="26"/>
          <w:lang w:eastAsia="ar-SA"/>
        </w:rPr>
        <w:t xml:space="preserve"> года</w:t>
      </w:r>
    </w:p>
    <w:p w:rsidR="00E22D70" w:rsidRPr="009C7E68" w:rsidRDefault="00E22D70" w:rsidP="00E22D70">
      <w:pPr>
        <w:spacing w:after="0" w:line="240" w:lineRule="auto"/>
        <w:ind w:firstLine="540"/>
        <w:jc w:val="both"/>
        <w:rPr>
          <w:rFonts w:ascii="Times New Roman" w:eastAsia="Times New Roman" w:hAnsi="Times New Roman" w:cs="Times New Roman"/>
          <w:b/>
          <w:sz w:val="26"/>
          <w:szCs w:val="26"/>
          <w:lang w:eastAsia="ru-RU"/>
        </w:rPr>
      </w:pPr>
    </w:p>
    <w:p w:rsidR="00E22D70" w:rsidRPr="009C7E68" w:rsidRDefault="00E22D70" w:rsidP="00E22D70">
      <w:pPr>
        <w:spacing w:after="0" w:line="240" w:lineRule="auto"/>
        <w:jc w:val="both"/>
        <w:rPr>
          <w:rFonts w:ascii="Times New Roman" w:eastAsia="Times New Roman" w:hAnsi="Times New Roman" w:cs="Times New Roman"/>
          <w:sz w:val="26"/>
          <w:szCs w:val="26"/>
          <w:lang w:eastAsia="ru-RU"/>
        </w:rPr>
      </w:pPr>
      <w:r w:rsidRPr="00E22D70">
        <w:rPr>
          <w:rFonts w:ascii="Times New Roman" w:eastAsia="Times New Roman" w:hAnsi="Times New Roman" w:cs="Times New Roman"/>
          <w:b/>
          <w:sz w:val="26"/>
          <w:szCs w:val="26"/>
          <w:lang w:eastAsia="ru-RU"/>
        </w:rPr>
        <w:t>Основание для проведения контрольного мероприятия:</w:t>
      </w:r>
      <w:r w:rsidRPr="009C7E68">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sz w:val="26"/>
          <w:szCs w:val="26"/>
          <w:lang w:eastAsia="ru-RU"/>
        </w:rPr>
        <w:t>пункт</w:t>
      </w:r>
      <w:r w:rsidRPr="009C7E68">
        <w:rPr>
          <w:rFonts w:ascii="Times New Roman" w:eastAsia="Times New Roman" w:hAnsi="Times New Roman" w:cs="Times New Roman"/>
          <w:sz w:val="26"/>
          <w:szCs w:val="26"/>
          <w:lang w:eastAsia="ru-RU"/>
        </w:rPr>
        <w:t xml:space="preserve"> 1.1 Плана работы контрольно-счётной палаты </w:t>
      </w:r>
      <w:r>
        <w:rPr>
          <w:rFonts w:ascii="Times New Roman" w:eastAsia="Times New Roman" w:hAnsi="Times New Roman" w:cs="Times New Roman"/>
          <w:sz w:val="26"/>
          <w:szCs w:val="26"/>
          <w:lang w:eastAsia="ru-RU"/>
        </w:rPr>
        <w:t>городского округа Архангельской области</w:t>
      </w:r>
      <w:r w:rsidRPr="009C7E68">
        <w:rPr>
          <w:rFonts w:ascii="Times New Roman" w:eastAsia="Times New Roman" w:hAnsi="Times New Roman" w:cs="Times New Roman"/>
          <w:sz w:val="26"/>
          <w:szCs w:val="26"/>
          <w:lang w:eastAsia="ru-RU"/>
        </w:rPr>
        <w:t xml:space="preserve"> «Город Коряжма» на 20</w:t>
      </w:r>
      <w:r>
        <w:rPr>
          <w:rFonts w:ascii="Times New Roman" w:eastAsia="Times New Roman" w:hAnsi="Times New Roman" w:cs="Times New Roman"/>
          <w:sz w:val="26"/>
          <w:szCs w:val="26"/>
          <w:lang w:eastAsia="ru-RU"/>
        </w:rPr>
        <w:t xml:space="preserve">21 </w:t>
      </w:r>
      <w:r w:rsidRPr="009C7E68">
        <w:rPr>
          <w:rFonts w:ascii="Times New Roman" w:eastAsia="Times New Roman" w:hAnsi="Times New Roman" w:cs="Times New Roman"/>
          <w:sz w:val="26"/>
          <w:szCs w:val="26"/>
          <w:lang w:eastAsia="ru-RU"/>
        </w:rPr>
        <w:t>год</w:t>
      </w:r>
      <w:r>
        <w:rPr>
          <w:rFonts w:ascii="Times New Roman" w:eastAsia="Times New Roman" w:hAnsi="Times New Roman" w:cs="Times New Roman"/>
          <w:sz w:val="26"/>
          <w:szCs w:val="26"/>
          <w:lang w:eastAsia="ru-RU"/>
        </w:rPr>
        <w:t>, утвержденного распоряжением председателя контрольно-счетной палаты от 30.11.2020г. №01-04/3</w:t>
      </w:r>
      <w:r w:rsidRPr="009C7E68">
        <w:rPr>
          <w:rFonts w:ascii="Times New Roman" w:eastAsia="Times New Roman" w:hAnsi="Times New Roman" w:cs="Times New Roman"/>
          <w:sz w:val="26"/>
          <w:szCs w:val="26"/>
          <w:lang w:eastAsia="ru-RU"/>
        </w:rPr>
        <w:t xml:space="preserve">; распоряжений </w:t>
      </w:r>
      <w:r>
        <w:rPr>
          <w:rFonts w:ascii="Times New Roman" w:eastAsia="Times New Roman" w:hAnsi="Times New Roman" w:cs="Times New Roman"/>
          <w:sz w:val="26"/>
          <w:szCs w:val="26"/>
          <w:lang w:eastAsia="ru-RU"/>
        </w:rPr>
        <w:t>от 29.12.2021г.</w:t>
      </w:r>
      <w:r w:rsidRPr="009C7E68">
        <w:rPr>
          <w:rFonts w:ascii="Times New Roman" w:eastAsia="Times New Roman" w:hAnsi="Times New Roman" w:cs="Times New Roman"/>
          <w:sz w:val="26"/>
          <w:szCs w:val="26"/>
          <w:lang w:eastAsia="ru-RU"/>
        </w:rPr>
        <w:t xml:space="preserve"> №01-03/10 и </w:t>
      </w:r>
      <w:r>
        <w:rPr>
          <w:rFonts w:ascii="Times New Roman" w:eastAsia="Times New Roman" w:hAnsi="Times New Roman" w:cs="Times New Roman"/>
          <w:sz w:val="26"/>
          <w:szCs w:val="26"/>
          <w:lang w:eastAsia="ru-RU"/>
        </w:rPr>
        <w:t>от 26.01.2022г.</w:t>
      </w:r>
      <w:r w:rsidRPr="009C7E68">
        <w:rPr>
          <w:rFonts w:ascii="Times New Roman" w:eastAsia="Times New Roman" w:hAnsi="Times New Roman" w:cs="Times New Roman"/>
          <w:sz w:val="26"/>
          <w:szCs w:val="26"/>
          <w:lang w:eastAsia="ru-RU"/>
        </w:rPr>
        <w:t xml:space="preserve"> №01-03/2, выданных пр</w:t>
      </w:r>
      <w:r>
        <w:rPr>
          <w:rFonts w:ascii="Times New Roman" w:eastAsia="Times New Roman" w:hAnsi="Times New Roman" w:cs="Times New Roman"/>
          <w:sz w:val="26"/>
          <w:szCs w:val="26"/>
          <w:lang w:eastAsia="ru-RU"/>
        </w:rPr>
        <w:t>едседателем контрольно-счётной</w:t>
      </w:r>
      <w:r w:rsidR="00C855BE">
        <w:rPr>
          <w:rFonts w:ascii="Times New Roman" w:eastAsia="Times New Roman" w:hAnsi="Times New Roman" w:cs="Times New Roman"/>
          <w:sz w:val="26"/>
          <w:szCs w:val="26"/>
          <w:lang w:eastAsia="ru-RU"/>
        </w:rPr>
        <w:t xml:space="preserve"> палаты</w:t>
      </w:r>
      <w:r>
        <w:rPr>
          <w:rFonts w:ascii="Times New Roman" w:eastAsia="Times New Roman" w:hAnsi="Times New Roman" w:cs="Times New Roman"/>
          <w:sz w:val="26"/>
          <w:szCs w:val="26"/>
          <w:lang w:eastAsia="ru-RU"/>
        </w:rPr>
        <w:t>.</w:t>
      </w:r>
    </w:p>
    <w:p w:rsidR="00E22D70" w:rsidRDefault="00E22D70" w:rsidP="00E22D70">
      <w:pPr>
        <w:spacing w:after="0" w:line="240" w:lineRule="auto"/>
        <w:jc w:val="both"/>
        <w:rPr>
          <w:rFonts w:ascii="Times New Roman" w:hAnsi="Times New Roman" w:cs="Times New Roman"/>
          <w:bCs/>
          <w:sz w:val="26"/>
          <w:szCs w:val="26"/>
        </w:rPr>
      </w:pPr>
      <w:r w:rsidRPr="002F4E4D">
        <w:rPr>
          <w:rFonts w:ascii="Times New Roman" w:eastAsia="Times New Roman" w:hAnsi="Times New Roman" w:cs="Times New Roman"/>
          <w:b/>
          <w:sz w:val="26"/>
          <w:szCs w:val="26"/>
          <w:lang w:eastAsia="ru-RU"/>
        </w:rPr>
        <w:t>Цель контрольного мероприятия</w:t>
      </w:r>
      <w:r w:rsidRPr="00AD678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Pr="00E22D70">
        <w:rPr>
          <w:rFonts w:ascii="Times New Roman" w:hAnsi="Times New Roman" w:cs="Times New Roman"/>
          <w:bCs/>
          <w:sz w:val="26"/>
          <w:szCs w:val="26"/>
        </w:rPr>
        <w:t>Оценка выполнения полномочий и функций прогнозирования, учета и контроля полноты и своевременности поступления </w:t>
      </w:r>
      <w:hyperlink r:id="rId5" w:tooltip="Денежные средства" w:history="1">
        <w:r w:rsidRPr="00E22D70">
          <w:rPr>
            <w:rFonts w:ascii="Times New Roman" w:hAnsi="Times New Roman" w:cs="Times New Roman"/>
            <w:sz w:val="26"/>
            <w:szCs w:val="26"/>
          </w:rPr>
          <w:t>денежных средств</w:t>
        </w:r>
      </w:hyperlink>
      <w:r w:rsidRPr="00E22D70">
        <w:rPr>
          <w:rFonts w:ascii="Times New Roman" w:hAnsi="Times New Roman" w:cs="Times New Roman"/>
          <w:bCs/>
          <w:sz w:val="26"/>
          <w:szCs w:val="26"/>
        </w:rPr>
        <w:t> по источникам неналоговых доходов в условиях казначейского метода исполнения бюджета, а также оценка степени эффективности использования муниципального имущества</w:t>
      </w:r>
      <w:r w:rsidR="0038736E">
        <w:rPr>
          <w:rFonts w:ascii="Times New Roman" w:hAnsi="Times New Roman" w:cs="Times New Roman"/>
          <w:bCs/>
          <w:sz w:val="26"/>
          <w:szCs w:val="26"/>
        </w:rPr>
        <w:t>.</w:t>
      </w:r>
    </w:p>
    <w:p w:rsidR="0038736E" w:rsidRPr="0038736E" w:rsidRDefault="0038736E" w:rsidP="00E22D70">
      <w:pPr>
        <w:spacing w:after="0" w:line="240" w:lineRule="auto"/>
        <w:jc w:val="both"/>
        <w:rPr>
          <w:rFonts w:ascii="Times New Roman" w:eastAsia="Times New Roman" w:hAnsi="Times New Roman" w:cs="Times New Roman"/>
          <w:b/>
          <w:sz w:val="26"/>
          <w:szCs w:val="26"/>
          <w:lang w:eastAsia="ru-RU"/>
        </w:rPr>
      </w:pPr>
      <w:r w:rsidRPr="0038736E">
        <w:rPr>
          <w:rFonts w:ascii="Times New Roman" w:hAnsi="Times New Roman" w:cs="Times New Roman"/>
          <w:b/>
          <w:bCs/>
          <w:sz w:val="26"/>
          <w:szCs w:val="26"/>
        </w:rPr>
        <w:t>Предмет контрольного мероприятия</w:t>
      </w:r>
      <w:r>
        <w:rPr>
          <w:rFonts w:ascii="Times New Roman" w:hAnsi="Times New Roman" w:cs="Times New Roman"/>
          <w:b/>
          <w:bCs/>
          <w:sz w:val="26"/>
          <w:szCs w:val="26"/>
        </w:rPr>
        <w:t>:</w:t>
      </w:r>
      <w:r w:rsidR="0089659F">
        <w:t xml:space="preserve"> </w:t>
      </w:r>
      <w:r w:rsidR="0089659F" w:rsidRPr="0089659F">
        <w:rPr>
          <w:rFonts w:ascii="Times New Roman" w:hAnsi="Times New Roman" w:cs="Times New Roman"/>
          <w:bCs/>
          <w:sz w:val="26"/>
          <w:szCs w:val="26"/>
        </w:rPr>
        <w:t>Деятельность органов местного самоуправления по законности и эффективности использования муниципального имущества в соответствии с нормативными правовыми актами Российской Федерации, субъекта Российской Федерации и представительного органа муниципального образования</w:t>
      </w:r>
      <w:r w:rsidR="0089659F">
        <w:rPr>
          <w:rFonts w:ascii="Times New Roman" w:hAnsi="Times New Roman" w:cs="Times New Roman"/>
          <w:bCs/>
          <w:sz w:val="26"/>
          <w:szCs w:val="26"/>
        </w:rPr>
        <w:t>.</w:t>
      </w:r>
    </w:p>
    <w:p w:rsidR="00E22D70" w:rsidRPr="00E22D70" w:rsidRDefault="00E22D70" w:rsidP="00E22D70">
      <w:pPr>
        <w:spacing w:after="0" w:line="240" w:lineRule="auto"/>
        <w:jc w:val="both"/>
        <w:rPr>
          <w:rFonts w:ascii="Times New Roman" w:eastAsia="Times New Roman" w:hAnsi="Times New Roman" w:cs="Times New Roman"/>
          <w:bCs/>
          <w:sz w:val="26"/>
          <w:szCs w:val="26"/>
          <w:lang w:eastAsia="ru-RU"/>
        </w:rPr>
      </w:pPr>
      <w:r w:rsidRPr="002F4E4D">
        <w:rPr>
          <w:rFonts w:ascii="Times New Roman" w:eastAsia="Times New Roman" w:hAnsi="Times New Roman" w:cs="Times New Roman"/>
          <w:b/>
          <w:sz w:val="26"/>
          <w:szCs w:val="26"/>
          <w:lang w:eastAsia="ru-RU"/>
        </w:rPr>
        <w:t>Объект (Объекты) контрольного</w:t>
      </w:r>
      <w:r w:rsidRPr="002F4E4D">
        <w:rPr>
          <w:rFonts w:ascii="Times New Roman" w:eastAsia="Times New Roman" w:hAnsi="Times New Roman" w:cs="Times New Roman"/>
          <w:sz w:val="26"/>
          <w:szCs w:val="26"/>
          <w:lang w:eastAsia="ru-RU"/>
        </w:rPr>
        <w:t xml:space="preserve"> </w:t>
      </w:r>
      <w:r w:rsidRPr="002F4E4D">
        <w:rPr>
          <w:rFonts w:ascii="Times New Roman" w:eastAsia="Times New Roman" w:hAnsi="Times New Roman" w:cs="Times New Roman"/>
          <w:b/>
          <w:bCs/>
          <w:sz w:val="26"/>
          <w:szCs w:val="26"/>
          <w:lang w:eastAsia="ru-RU"/>
        </w:rPr>
        <w:t>мероприятия:</w:t>
      </w:r>
      <w:r w:rsidRPr="00AD6785">
        <w:rPr>
          <w:rFonts w:ascii="Times New Roman" w:eastAsia="Times New Roman" w:hAnsi="Times New Roman" w:cs="Times New Roman"/>
          <w:b/>
          <w:bCs/>
          <w:sz w:val="24"/>
          <w:szCs w:val="24"/>
          <w:lang w:eastAsia="ru-RU"/>
        </w:rPr>
        <w:t xml:space="preserve"> </w:t>
      </w:r>
      <w:r w:rsidRPr="00E22D70">
        <w:rPr>
          <w:rFonts w:ascii="Times New Roman" w:eastAsia="Times New Roman" w:hAnsi="Times New Roman" w:cs="Times New Roman"/>
          <w:sz w:val="26"/>
          <w:szCs w:val="26"/>
          <w:lang w:eastAsia="ru-RU"/>
        </w:rPr>
        <w:t>Управл</w:t>
      </w:r>
      <w:r w:rsidRPr="00E22D70">
        <w:rPr>
          <w:rFonts w:ascii="Times New Roman" w:eastAsia="Times New Roman" w:hAnsi="Times New Roman" w:cs="Times New Roman"/>
          <w:bCs/>
          <w:sz w:val="26"/>
          <w:szCs w:val="26"/>
          <w:lang w:eastAsia="ru-RU"/>
        </w:rPr>
        <w:t>ение муниципального хозяйства и градостроительства администрации городского округа Архангельской области  «Город Коряжма».</w:t>
      </w:r>
    </w:p>
    <w:p w:rsidR="00E22D70" w:rsidRDefault="00E22D70" w:rsidP="00E22D70">
      <w:pPr>
        <w:spacing w:after="0"/>
        <w:rPr>
          <w:rFonts w:ascii="Times New Roman" w:eastAsia="Times New Roman" w:hAnsi="Times New Roman" w:cs="Times New Roman"/>
          <w:bCs/>
          <w:sz w:val="24"/>
          <w:szCs w:val="24"/>
          <w:lang w:eastAsia="ru-RU"/>
        </w:rPr>
      </w:pPr>
      <w:r w:rsidRPr="002F4E4D">
        <w:rPr>
          <w:rFonts w:ascii="Times New Roman" w:eastAsia="Times New Roman" w:hAnsi="Times New Roman" w:cs="Times New Roman"/>
          <w:b/>
          <w:bCs/>
          <w:sz w:val="26"/>
          <w:szCs w:val="26"/>
          <w:lang w:eastAsia="ru-RU"/>
        </w:rPr>
        <w:t>Проверяемый период:</w:t>
      </w:r>
      <w:r w:rsidRPr="0032011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 с 01.01.2021 по 31.12.2021г.</w:t>
      </w:r>
    </w:p>
    <w:p w:rsidR="00E22D70" w:rsidRPr="00D8519B" w:rsidRDefault="00E22D70" w:rsidP="00E22D70">
      <w:pPr>
        <w:pStyle w:val="ConsNormal"/>
        <w:widowControl/>
        <w:tabs>
          <w:tab w:val="left" w:pos="1800"/>
        </w:tabs>
        <w:ind w:firstLine="0"/>
        <w:jc w:val="both"/>
        <w:rPr>
          <w:rFonts w:ascii="Times New Roman" w:hAnsi="Times New Roman"/>
          <w:sz w:val="26"/>
          <w:szCs w:val="26"/>
        </w:rPr>
      </w:pPr>
      <w:r w:rsidRPr="00D8519B">
        <w:rPr>
          <w:rFonts w:ascii="Times New Roman" w:hAnsi="Times New Roman"/>
          <w:b/>
          <w:sz w:val="26"/>
          <w:szCs w:val="26"/>
        </w:rPr>
        <w:t>Срок проведения контрольного мероприятия:</w:t>
      </w:r>
      <w:r w:rsidRPr="00D8519B">
        <w:rPr>
          <w:rFonts w:ascii="Times New Roman" w:hAnsi="Times New Roman"/>
          <w:sz w:val="26"/>
          <w:szCs w:val="26"/>
        </w:rPr>
        <w:t xml:space="preserve"> с «</w:t>
      </w:r>
      <w:r>
        <w:rPr>
          <w:rFonts w:ascii="Times New Roman" w:hAnsi="Times New Roman"/>
          <w:sz w:val="26"/>
          <w:szCs w:val="26"/>
        </w:rPr>
        <w:t>30</w:t>
      </w:r>
      <w:r w:rsidRPr="00D8519B">
        <w:rPr>
          <w:rFonts w:ascii="Times New Roman" w:hAnsi="Times New Roman"/>
          <w:sz w:val="26"/>
          <w:szCs w:val="26"/>
        </w:rPr>
        <w:t>»</w:t>
      </w:r>
      <w:r>
        <w:rPr>
          <w:rFonts w:ascii="Times New Roman" w:hAnsi="Times New Roman"/>
          <w:sz w:val="26"/>
          <w:szCs w:val="26"/>
        </w:rPr>
        <w:t xml:space="preserve"> декабря 2021</w:t>
      </w:r>
      <w:r w:rsidRPr="00D8519B">
        <w:rPr>
          <w:rFonts w:ascii="Times New Roman" w:hAnsi="Times New Roman"/>
          <w:sz w:val="26"/>
          <w:szCs w:val="26"/>
        </w:rPr>
        <w:t>г. по «</w:t>
      </w:r>
      <w:r>
        <w:rPr>
          <w:rFonts w:ascii="Times New Roman" w:hAnsi="Times New Roman"/>
          <w:sz w:val="26"/>
          <w:szCs w:val="26"/>
        </w:rPr>
        <w:t>09</w:t>
      </w:r>
      <w:r w:rsidRPr="00D8519B">
        <w:rPr>
          <w:rFonts w:ascii="Times New Roman" w:hAnsi="Times New Roman"/>
          <w:sz w:val="26"/>
          <w:szCs w:val="26"/>
        </w:rPr>
        <w:t>» января</w:t>
      </w:r>
      <w:r>
        <w:rPr>
          <w:rFonts w:ascii="Times New Roman" w:hAnsi="Times New Roman"/>
          <w:sz w:val="26"/>
          <w:szCs w:val="26"/>
        </w:rPr>
        <w:t xml:space="preserve"> 2022</w:t>
      </w:r>
      <w:r w:rsidRPr="00D8519B">
        <w:rPr>
          <w:rFonts w:ascii="Times New Roman" w:hAnsi="Times New Roman"/>
          <w:sz w:val="26"/>
          <w:szCs w:val="26"/>
        </w:rPr>
        <w:t xml:space="preserve"> г.</w:t>
      </w:r>
      <w:r>
        <w:rPr>
          <w:rFonts w:ascii="Times New Roman" w:hAnsi="Times New Roman"/>
          <w:sz w:val="26"/>
          <w:szCs w:val="26"/>
        </w:rPr>
        <w:t>, приостановлена с «10» января 2022г. по «28» января 2022г., возобновлена с «31» января 2022г. по «19» февраля 2022г., приостановлена с «4» февраля 2022г., возобновлена с «15» февраля» 2022г. по «02» марта 2022г.</w:t>
      </w:r>
    </w:p>
    <w:p w:rsidR="00FC568A" w:rsidRPr="00FC568A" w:rsidRDefault="00FC568A" w:rsidP="00FC568A">
      <w:pPr>
        <w:spacing w:after="0"/>
        <w:jc w:val="both"/>
        <w:rPr>
          <w:rFonts w:ascii="Times New Roman" w:eastAsiaTheme="minorEastAsia" w:hAnsi="Times New Roman" w:cs="Times New Roman"/>
          <w:bCs/>
          <w:sz w:val="26"/>
          <w:szCs w:val="26"/>
          <w:lang w:eastAsia="ar-SA"/>
        </w:rPr>
      </w:pPr>
      <w:r w:rsidRPr="00FC568A">
        <w:rPr>
          <w:rFonts w:ascii="Times New Roman" w:eastAsiaTheme="minorEastAsia" w:hAnsi="Times New Roman" w:cs="Times New Roman"/>
          <w:b/>
          <w:sz w:val="26"/>
          <w:szCs w:val="26"/>
          <w:lang w:eastAsia="ar-SA"/>
        </w:rPr>
        <w:t>Перечень всех оформленных актов</w:t>
      </w:r>
      <w:r w:rsidRPr="00FC568A">
        <w:rPr>
          <w:rFonts w:ascii="Times New Roman" w:eastAsiaTheme="minorEastAsia" w:hAnsi="Times New Roman" w:cs="Times New Roman"/>
          <w:bCs/>
          <w:sz w:val="26"/>
          <w:szCs w:val="26"/>
          <w:lang w:eastAsia="ar-SA"/>
        </w:rPr>
        <w:t xml:space="preserve"> </w:t>
      </w:r>
    </w:p>
    <w:p w:rsidR="00FC568A" w:rsidRPr="00FC568A" w:rsidRDefault="00FC568A" w:rsidP="00FC568A">
      <w:pPr>
        <w:spacing w:after="0" w:line="240" w:lineRule="auto"/>
        <w:jc w:val="both"/>
        <w:rPr>
          <w:rFonts w:ascii="Times New Roman" w:eastAsiaTheme="minorEastAsia" w:hAnsi="Times New Roman" w:cs="Times New Roman"/>
          <w:sz w:val="26"/>
          <w:szCs w:val="26"/>
          <w:lang w:eastAsia="ru-RU"/>
        </w:rPr>
      </w:pPr>
      <w:r w:rsidRPr="00FC568A">
        <w:rPr>
          <w:rFonts w:ascii="Times New Roman" w:eastAsiaTheme="minorEastAsia" w:hAnsi="Times New Roman" w:cs="Times New Roman"/>
          <w:sz w:val="26"/>
          <w:szCs w:val="26"/>
          <w:lang w:eastAsia="ru-RU"/>
        </w:rPr>
        <w:t xml:space="preserve">По результатам проверки составлен акт от </w:t>
      </w:r>
      <w:r>
        <w:rPr>
          <w:rFonts w:ascii="Times New Roman" w:eastAsiaTheme="minorEastAsia" w:hAnsi="Times New Roman" w:cs="Times New Roman"/>
          <w:sz w:val="26"/>
          <w:szCs w:val="26"/>
          <w:lang w:eastAsia="ru-RU"/>
        </w:rPr>
        <w:t>10</w:t>
      </w:r>
      <w:r w:rsidRPr="00FC568A">
        <w:rPr>
          <w:rFonts w:ascii="Times New Roman" w:eastAsiaTheme="minorEastAsia" w:hAnsi="Times New Roman" w:cs="Times New Roman"/>
          <w:sz w:val="26"/>
          <w:szCs w:val="26"/>
          <w:lang w:eastAsia="ru-RU"/>
        </w:rPr>
        <w:t>.</w:t>
      </w:r>
      <w:r>
        <w:rPr>
          <w:rFonts w:ascii="Times New Roman" w:eastAsiaTheme="minorEastAsia" w:hAnsi="Times New Roman" w:cs="Times New Roman"/>
          <w:sz w:val="26"/>
          <w:szCs w:val="26"/>
          <w:lang w:eastAsia="ru-RU"/>
        </w:rPr>
        <w:t>03</w:t>
      </w:r>
      <w:r w:rsidRPr="00FC568A">
        <w:rPr>
          <w:rFonts w:ascii="Times New Roman" w:eastAsiaTheme="minorEastAsia" w:hAnsi="Times New Roman" w:cs="Times New Roman"/>
          <w:sz w:val="26"/>
          <w:szCs w:val="26"/>
          <w:lang w:eastAsia="ru-RU"/>
        </w:rPr>
        <w:t>.20</w:t>
      </w:r>
      <w:r>
        <w:rPr>
          <w:rFonts w:ascii="Times New Roman" w:eastAsiaTheme="minorEastAsia" w:hAnsi="Times New Roman" w:cs="Times New Roman"/>
          <w:sz w:val="26"/>
          <w:szCs w:val="26"/>
          <w:lang w:eastAsia="ru-RU"/>
        </w:rPr>
        <w:t>22</w:t>
      </w:r>
      <w:r w:rsidR="0091248F">
        <w:rPr>
          <w:rFonts w:ascii="Times New Roman" w:eastAsiaTheme="minorEastAsia" w:hAnsi="Times New Roman" w:cs="Times New Roman"/>
          <w:sz w:val="26"/>
          <w:szCs w:val="26"/>
          <w:lang w:eastAsia="ru-RU"/>
        </w:rPr>
        <w:t xml:space="preserve"> №01-12/4</w:t>
      </w:r>
      <w:r w:rsidRPr="00FC568A">
        <w:rPr>
          <w:rFonts w:ascii="Times New Roman" w:eastAsiaTheme="minorEastAsia" w:hAnsi="Times New Roman" w:cs="Times New Roman"/>
          <w:sz w:val="26"/>
          <w:szCs w:val="26"/>
          <w:lang w:eastAsia="ru-RU"/>
        </w:rPr>
        <w:t>, с которым ознакомлен заместитель главы муниципального образования по городскому хозяйству, начальник управления муниципального хозяйства и градостроительства, в адрес контрольно-счётно</w:t>
      </w:r>
      <w:r w:rsidR="006C2A5F">
        <w:rPr>
          <w:rFonts w:ascii="Times New Roman" w:eastAsiaTheme="minorEastAsia" w:hAnsi="Times New Roman" w:cs="Times New Roman"/>
          <w:sz w:val="26"/>
          <w:szCs w:val="26"/>
          <w:lang w:eastAsia="ru-RU"/>
        </w:rPr>
        <w:t>й палаты представлены пояснения</w:t>
      </w:r>
      <w:r w:rsidRPr="00FC568A">
        <w:rPr>
          <w:rFonts w:ascii="Times New Roman" w:eastAsiaTheme="minorEastAsia" w:hAnsi="Times New Roman" w:cs="Times New Roman"/>
          <w:sz w:val="26"/>
          <w:szCs w:val="26"/>
          <w:lang w:eastAsia="ru-RU"/>
        </w:rPr>
        <w:t xml:space="preserve"> по результатам рассмотрения акта проверки </w:t>
      </w:r>
      <w:r w:rsidR="006C2A5F">
        <w:rPr>
          <w:rFonts w:ascii="Times New Roman" w:eastAsiaTheme="minorEastAsia" w:hAnsi="Times New Roman" w:cs="Times New Roman"/>
          <w:sz w:val="26"/>
          <w:szCs w:val="26"/>
          <w:lang w:eastAsia="ru-RU"/>
        </w:rPr>
        <w:t>от 24.03.2022 № 1087</w:t>
      </w:r>
      <w:r w:rsidRPr="00FC568A">
        <w:rPr>
          <w:rFonts w:ascii="Times New Roman" w:eastAsiaTheme="minorEastAsia" w:hAnsi="Times New Roman" w:cs="Times New Roman"/>
          <w:sz w:val="26"/>
          <w:szCs w:val="26"/>
          <w:lang w:eastAsia="ru-RU"/>
        </w:rPr>
        <w:t>.</w:t>
      </w:r>
    </w:p>
    <w:p w:rsidR="00FC568A" w:rsidRDefault="00FC568A" w:rsidP="00FC568A">
      <w:pPr>
        <w:tabs>
          <w:tab w:val="left" w:pos="1800"/>
        </w:tabs>
        <w:suppressAutoHyphens/>
        <w:autoSpaceDE w:val="0"/>
        <w:spacing w:after="0" w:line="240" w:lineRule="auto"/>
        <w:jc w:val="both"/>
        <w:rPr>
          <w:rFonts w:ascii="Times New Roman" w:eastAsiaTheme="minorEastAsia" w:hAnsi="Times New Roman" w:cs="Times New Roman"/>
          <w:sz w:val="26"/>
          <w:szCs w:val="26"/>
          <w:lang w:eastAsia="ru-RU"/>
        </w:rPr>
      </w:pPr>
      <w:r w:rsidRPr="00FC568A">
        <w:rPr>
          <w:rFonts w:ascii="Times New Roman" w:eastAsiaTheme="minorEastAsia" w:hAnsi="Times New Roman" w:cs="Times New Roman"/>
          <w:sz w:val="26"/>
          <w:szCs w:val="26"/>
          <w:lang w:eastAsia="ru-RU"/>
        </w:rPr>
        <w:t xml:space="preserve">При подготовке настоящего отчета использованы материалы по акту проверки, пояснения по акту проверки, представленные </w:t>
      </w:r>
      <w:proofErr w:type="spellStart"/>
      <w:r w:rsidRPr="00FC568A">
        <w:rPr>
          <w:rFonts w:ascii="Times New Roman" w:eastAsiaTheme="minorEastAsia" w:hAnsi="Times New Roman" w:cs="Times New Roman"/>
          <w:sz w:val="26"/>
          <w:szCs w:val="26"/>
          <w:lang w:eastAsia="ru-RU"/>
        </w:rPr>
        <w:t>УМХиГ</w:t>
      </w:r>
      <w:proofErr w:type="spellEnd"/>
      <w:r w:rsidRPr="00FC568A">
        <w:rPr>
          <w:rFonts w:ascii="Times New Roman" w:eastAsiaTheme="minorEastAsia" w:hAnsi="Times New Roman" w:cs="Times New Roman"/>
          <w:sz w:val="26"/>
          <w:szCs w:val="26"/>
          <w:lang w:eastAsia="ru-RU"/>
        </w:rPr>
        <w:t>.</w:t>
      </w:r>
    </w:p>
    <w:p w:rsidR="00A538C9" w:rsidRDefault="00A538C9" w:rsidP="00EE5383">
      <w:pPr>
        <w:spacing w:after="0" w:line="240" w:lineRule="auto"/>
        <w:ind w:firstLine="709"/>
        <w:jc w:val="both"/>
        <w:rPr>
          <w:rFonts w:ascii="Times New Roman" w:hAnsi="Times New Roman" w:cs="Times New Roman"/>
          <w:sz w:val="26"/>
          <w:szCs w:val="26"/>
          <w:lang w:eastAsia="ru-RU"/>
        </w:rPr>
      </w:pPr>
      <w:r w:rsidRPr="00A538C9">
        <w:rPr>
          <w:rFonts w:ascii="Times New Roman" w:hAnsi="Times New Roman" w:cs="Times New Roman"/>
          <w:sz w:val="26"/>
          <w:szCs w:val="26"/>
          <w:lang w:eastAsia="ru-RU"/>
        </w:rPr>
        <w:t>По результатам проведенного контрольного мероприятия сделаны нижеследующие основные выводы:</w:t>
      </w:r>
    </w:p>
    <w:p w:rsidR="00A538C9" w:rsidRDefault="003659E1"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Наблюдается снижение плановых показателей поступления доходов от сдачи помещений в аренду. </w:t>
      </w:r>
      <w:r w:rsidRPr="003659E1">
        <w:rPr>
          <w:rFonts w:ascii="Times New Roman" w:hAnsi="Times New Roman" w:cs="Times New Roman"/>
          <w:sz w:val="26"/>
          <w:szCs w:val="26"/>
          <w:lang w:eastAsia="ru-RU"/>
        </w:rPr>
        <w:t xml:space="preserve">Причинами уменьшения является продажа арендуемых помещений, уменьшение арендных платежей, за счет установление арендной платы по заключенным с субъектами малого и среднего предпринимательства договорам аренды муниципального недвижимого имущества муниципального образования «Город Коряжма» в размере 1 (один) рубль за 1 (один) квадратный метр площади </w:t>
      </w:r>
      <w:r w:rsidRPr="003659E1">
        <w:rPr>
          <w:rFonts w:ascii="Times New Roman" w:hAnsi="Times New Roman" w:cs="Times New Roman"/>
          <w:sz w:val="26"/>
          <w:szCs w:val="26"/>
          <w:lang w:eastAsia="ru-RU"/>
        </w:rPr>
        <w:lastRenderedPageBreak/>
        <w:t xml:space="preserve">переданного в аренду объекта недвижимого имущества на основании распоряжения администрации от 14.04.2020 №58р (в январе и феврале 2021г.), уменьшение стоимости за 1 </w:t>
      </w:r>
      <w:proofErr w:type="spellStart"/>
      <w:r w:rsidRPr="003659E1">
        <w:rPr>
          <w:rFonts w:ascii="Times New Roman" w:hAnsi="Times New Roman" w:cs="Times New Roman"/>
          <w:sz w:val="26"/>
          <w:szCs w:val="26"/>
          <w:lang w:eastAsia="ru-RU"/>
        </w:rPr>
        <w:t>кв.м</w:t>
      </w:r>
      <w:proofErr w:type="spellEnd"/>
      <w:r w:rsidRPr="003659E1">
        <w:rPr>
          <w:rFonts w:ascii="Times New Roman" w:hAnsi="Times New Roman" w:cs="Times New Roman"/>
          <w:sz w:val="26"/>
          <w:szCs w:val="26"/>
          <w:lang w:eastAsia="ru-RU"/>
        </w:rPr>
        <w:t xml:space="preserve"> после проведение оценки рыночной стоимости.</w:t>
      </w:r>
    </w:p>
    <w:p w:rsidR="003659E1" w:rsidRPr="003659E1" w:rsidRDefault="003659E1" w:rsidP="001A55A9">
      <w:pPr>
        <w:pStyle w:val="a3"/>
        <w:numPr>
          <w:ilvl w:val="0"/>
          <w:numId w:val="1"/>
        </w:numPr>
        <w:ind w:left="0" w:firstLine="709"/>
        <w:jc w:val="both"/>
        <w:rPr>
          <w:rFonts w:ascii="Times New Roman" w:hAnsi="Times New Roman" w:cs="Times New Roman"/>
          <w:sz w:val="26"/>
          <w:szCs w:val="26"/>
          <w:lang w:eastAsia="ru-RU"/>
        </w:rPr>
      </w:pPr>
      <w:r w:rsidRPr="003659E1">
        <w:rPr>
          <w:rFonts w:ascii="Times New Roman" w:hAnsi="Times New Roman" w:cs="Times New Roman"/>
          <w:sz w:val="26"/>
          <w:szCs w:val="26"/>
          <w:lang w:eastAsia="ru-RU"/>
        </w:rPr>
        <w:t xml:space="preserve">При разработке прогноза доходов от сдачи в аренду имущества, составляющего государственную (муниципальную) казну на 2022г. имеет место занижение плановых показателей на сумму 15,3 </w:t>
      </w:r>
      <w:proofErr w:type="spellStart"/>
      <w:r w:rsidRPr="003659E1">
        <w:rPr>
          <w:rFonts w:ascii="Times New Roman" w:hAnsi="Times New Roman" w:cs="Times New Roman"/>
          <w:sz w:val="26"/>
          <w:szCs w:val="26"/>
          <w:lang w:eastAsia="ru-RU"/>
        </w:rPr>
        <w:t>тыс.руб</w:t>
      </w:r>
      <w:proofErr w:type="spellEnd"/>
      <w:r w:rsidRPr="003659E1">
        <w:rPr>
          <w:rFonts w:ascii="Times New Roman" w:hAnsi="Times New Roman" w:cs="Times New Roman"/>
          <w:sz w:val="26"/>
          <w:szCs w:val="26"/>
          <w:lang w:eastAsia="ru-RU"/>
        </w:rPr>
        <w:t>, что нарушает принцип полноты отражения доходов бюджета, установленного ст.32 БК РФ, принципа достоверности (реалистичности) расчета доходов, устано</w:t>
      </w:r>
      <w:r>
        <w:rPr>
          <w:rFonts w:ascii="Times New Roman" w:hAnsi="Times New Roman" w:cs="Times New Roman"/>
          <w:sz w:val="26"/>
          <w:szCs w:val="26"/>
          <w:lang w:eastAsia="ru-RU"/>
        </w:rPr>
        <w:t xml:space="preserve">вленного ст.37 БК РФ и Методику </w:t>
      </w:r>
      <w:r w:rsidRPr="003659E1">
        <w:rPr>
          <w:rFonts w:ascii="Times New Roman" w:hAnsi="Times New Roman" w:cs="Times New Roman"/>
          <w:sz w:val="26"/>
          <w:szCs w:val="26"/>
          <w:lang w:eastAsia="ru-RU"/>
        </w:rPr>
        <w:t xml:space="preserve"> прогнозирования поступлений доходов в бюджет муниципального образования «Город Коряжма» на очередной финансовый год и плановый период, утверждена приказом </w:t>
      </w:r>
      <w:proofErr w:type="spellStart"/>
      <w:r w:rsidRPr="003659E1">
        <w:rPr>
          <w:rFonts w:ascii="Times New Roman" w:hAnsi="Times New Roman" w:cs="Times New Roman"/>
          <w:sz w:val="26"/>
          <w:szCs w:val="26"/>
          <w:lang w:eastAsia="ru-RU"/>
        </w:rPr>
        <w:t>УМХиГ</w:t>
      </w:r>
      <w:proofErr w:type="spellEnd"/>
      <w:r w:rsidRPr="003659E1">
        <w:rPr>
          <w:rFonts w:ascii="Times New Roman" w:hAnsi="Times New Roman" w:cs="Times New Roman"/>
          <w:sz w:val="26"/>
          <w:szCs w:val="26"/>
          <w:lang w:eastAsia="ru-RU"/>
        </w:rPr>
        <w:t xml:space="preserve"> от 20.05.2019 №28</w:t>
      </w:r>
      <w:r w:rsidR="001250B8">
        <w:rPr>
          <w:rFonts w:ascii="Times New Roman" w:hAnsi="Times New Roman" w:cs="Times New Roman"/>
          <w:sz w:val="26"/>
          <w:szCs w:val="26"/>
          <w:lang w:eastAsia="ru-RU"/>
        </w:rPr>
        <w:t>.</w:t>
      </w:r>
    </w:p>
    <w:p w:rsidR="003659E1" w:rsidRDefault="00381E63"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381E63">
        <w:rPr>
          <w:rFonts w:ascii="Times New Roman" w:hAnsi="Times New Roman" w:cs="Times New Roman"/>
          <w:sz w:val="26"/>
          <w:szCs w:val="26"/>
          <w:lang w:eastAsia="ru-RU"/>
        </w:rPr>
        <w:t>Аналитический учет по счету 20500 "Расчеты по доходам" в отдельных случаях ведется с нарушением п. 200 Инструкции 157н, а именно отсутствует учет по видам доходов (поступлений) в разрезе контрагентов (плательщиков доходов (групп плательщиков доходов), идентификационных номеров расчетов по доходам (уникальных идентификаторов начислений (УИН) (при наличии), правовых оснований возникновения расчетов и видов валют. Следовательно, по данным бюджетного учета нельзя сделать выводы о задолженности, начислении и поступлениях арендных платежей в разрезе контрагентов.</w:t>
      </w:r>
    </w:p>
    <w:p w:rsidR="00A20FB4" w:rsidRDefault="00A20FB4"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A20FB4">
        <w:rPr>
          <w:rFonts w:ascii="Times New Roman" w:hAnsi="Times New Roman" w:cs="Times New Roman"/>
          <w:sz w:val="26"/>
          <w:szCs w:val="26"/>
          <w:lang w:eastAsia="ru-RU"/>
        </w:rPr>
        <w:t>В нарушении п.150 Инструкции 162н суммы по прогнозным показателям доходов (поступлений) бюджета на соответствующий финансовый год (их изменений) не учитываются администратором доходов бюджета на соответствующих счетах аналитического учета счета 050400000 "Сметные (плановые, прогнозные) назначения" в разрезе финансовых периодов</w:t>
      </w:r>
      <w:r w:rsidR="001250B8">
        <w:rPr>
          <w:rFonts w:ascii="Times New Roman" w:hAnsi="Times New Roman" w:cs="Times New Roman"/>
          <w:sz w:val="26"/>
          <w:szCs w:val="26"/>
          <w:lang w:eastAsia="ru-RU"/>
        </w:rPr>
        <w:t>.</w:t>
      </w:r>
    </w:p>
    <w:p w:rsidR="0007744E" w:rsidRPr="000A162D" w:rsidRDefault="0007744E"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A162D">
        <w:rPr>
          <w:rFonts w:ascii="Times New Roman" w:hAnsi="Times New Roman" w:cs="Times New Roman"/>
          <w:sz w:val="26"/>
          <w:szCs w:val="26"/>
          <w:lang w:eastAsia="ru-RU"/>
        </w:rPr>
        <w:t>В нарушении п.1. ст.13 Федеральный закон от 06.12.2011 N 402-ФЗ "О бухгалтерском учете"</w:t>
      </w:r>
      <w:r>
        <w:rPr>
          <w:rFonts w:ascii="Times New Roman" w:hAnsi="Times New Roman" w:cs="Times New Roman"/>
          <w:sz w:val="26"/>
          <w:szCs w:val="26"/>
          <w:lang w:eastAsia="ru-RU"/>
        </w:rPr>
        <w:t xml:space="preserve"> формы бюджетной отчетности (Сведения</w:t>
      </w:r>
      <w:r w:rsidRPr="000A162D">
        <w:rPr>
          <w:rFonts w:ascii="Times New Roman" w:hAnsi="Times New Roman" w:cs="Times New Roman"/>
          <w:sz w:val="26"/>
          <w:szCs w:val="26"/>
          <w:lang w:eastAsia="ru-RU"/>
        </w:rPr>
        <w:t xml:space="preserve"> по дебиторской и кредиторской задолженности (ф.0503169) (кредиторская, дебиторская)</w:t>
      </w:r>
      <w:r>
        <w:rPr>
          <w:rFonts w:ascii="Times New Roman" w:hAnsi="Times New Roman" w:cs="Times New Roman"/>
          <w:sz w:val="26"/>
          <w:szCs w:val="26"/>
          <w:lang w:eastAsia="ru-RU"/>
        </w:rPr>
        <w:t xml:space="preserve">, </w:t>
      </w:r>
      <w:r>
        <w:rPr>
          <w:rFonts w:ascii="Times New Roman" w:hAnsi="Times New Roman"/>
          <w:sz w:val="26"/>
          <w:szCs w:val="26"/>
        </w:rPr>
        <w:t>Справка</w:t>
      </w:r>
      <w:r w:rsidRPr="00556718">
        <w:rPr>
          <w:rFonts w:ascii="Times New Roman" w:hAnsi="Times New Roman"/>
          <w:sz w:val="26"/>
          <w:szCs w:val="26"/>
        </w:rPr>
        <w:t xml:space="preserve"> по заключению счетов бюджетного учета и отчетности финансового года (ф.0503110)</w:t>
      </w:r>
      <w:r>
        <w:rPr>
          <w:rFonts w:ascii="Times New Roman" w:hAnsi="Times New Roman"/>
          <w:sz w:val="26"/>
          <w:szCs w:val="26"/>
        </w:rPr>
        <w:t xml:space="preserve">, </w:t>
      </w:r>
      <w:r w:rsidRPr="00556718">
        <w:rPr>
          <w:rFonts w:ascii="Times New Roman" w:hAnsi="Times New Roman"/>
          <w:sz w:val="26"/>
          <w:szCs w:val="26"/>
        </w:rPr>
        <w:t>Отчет об исполнении бюджета (ф. 0503127)</w:t>
      </w:r>
      <w:r>
        <w:rPr>
          <w:rFonts w:ascii="Times New Roman" w:hAnsi="Times New Roman"/>
          <w:sz w:val="26"/>
          <w:szCs w:val="26"/>
        </w:rPr>
        <w:t xml:space="preserve"> </w:t>
      </w:r>
      <w:r>
        <w:rPr>
          <w:rFonts w:ascii="Times New Roman" w:hAnsi="Times New Roman" w:cs="Times New Roman"/>
          <w:sz w:val="26"/>
          <w:szCs w:val="26"/>
          <w:lang w:eastAsia="ru-RU"/>
        </w:rPr>
        <w:t xml:space="preserve">не дают достоверное представление о задолженности, начислении и поступлению доходов </w:t>
      </w:r>
      <w:r w:rsidRPr="00E52C81">
        <w:rPr>
          <w:rFonts w:ascii="Times New Roman" w:hAnsi="Times New Roman"/>
          <w:bCs/>
          <w:sz w:val="26"/>
          <w:szCs w:val="26"/>
        </w:rPr>
        <w:t>от сдачи в аренду имущества, составляющего государственную (муниципальную) казну (за исключением земельных участков)</w:t>
      </w:r>
      <w:r>
        <w:rPr>
          <w:rFonts w:ascii="Times New Roman" w:hAnsi="Times New Roman"/>
          <w:bCs/>
          <w:sz w:val="26"/>
          <w:szCs w:val="26"/>
        </w:rPr>
        <w:t>.</w:t>
      </w:r>
    </w:p>
    <w:p w:rsidR="00381E63" w:rsidRPr="00381E63" w:rsidRDefault="00381E63" w:rsidP="001A55A9">
      <w:pPr>
        <w:pStyle w:val="a3"/>
        <w:numPr>
          <w:ilvl w:val="0"/>
          <w:numId w:val="1"/>
        </w:numPr>
        <w:shd w:val="clear" w:color="auto" w:fill="FFFFFF"/>
        <w:spacing w:after="0" w:line="240" w:lineRule="auto"/>
        <w:ind w:left="0" w:firstLine="709"/>
        <w:jc w:val="both"/>
        <w:rPr>
          <w:rFonts w:ascii="Times New Roman" w:eastAsia="Times New Roman" w:hAnsi="Times New Roman" w:cs="Times New Roman"/>
          <w:sz w:val="26"/>
          <w:szCs w:val="26"/>
          <w:lang w:eastAsia="ru-RU"/>
        </w:rPr>
      </w:pPr>
      <w:r w:rsidRPr="00381E63">
        <w:rPr>
          <w:rFonts w:ascii="Times New Roman" w:eastAsia="Times New Roman" w:hAnsi="Times New Roman" w:cs="Times New Roman"/>
          <w:sz w:val="26"/>
          <w:szCs w:val="26"/>
          <w:lang w:eastAsia="ru-RU"/>
        </w:rPr>
        <w:t>В результате</w:t>
      </w:r>
      <w:r w:rsidR="002858A3" w:rsidRPr="002858A3">
        <w:t xml:space="preserve"> </w:t>
      </w:r>
      <w:r w:rsidR="00E759D8">
        <w:rPr>
          <w:rFonts w:ascii="Times New Roman" w:eastAsia="Times New Roman" w:hAnsi="Times New Roman" w:cs="Times New Roman"/>
          <w:sz w:val="26"/>
          <w:szCs w:val="26"/>
          <w:lang w:eastAsia="ru-RU"/>
        </w:rPr>
        <w:t>проверки</w:t>
      </w:r>
      <w:r w:rsidR="002858A3" w:rsidRPr="002858A3">
        <w:rPr>
          <w:rFonts w:ascii="Times New Roman" w:eastAsia="Times New Roman" w:hAnsi="Times New Roman" w:cs="Times New Roman"/>
          <w:sz w:val="26"/>
          <w:szCs w:val="26"/>
          <w:lang w:eastAsia="ru-RU"/>
        </w:rPr>
        <w:t xml:space="preserve"> начисления и поступления арендных платежей</w:t>
      </w:r>
      <w:r w:rsidRPr="00381E63">
        <w:rPr>
          <w:rFonts w:ascii="Times New Roman" w:eastAsia="Times New Roman" w:hAnsi="Times New Roman" w:cs="Times New Roman"/>
          <w:sz w:val="26"/>
          <w:szCs w:val="26"/>
          <w:lang w:eastAsia="ru-RU"/>
        </w:rPr>
        <w:t xml:space="preserve"> установлено искажение показателей годовой</w:t>
      </w:r>
      <w:r>
        <w:rPr>
          <w:rFonts w:ascii="Times New Roman" w:eastAsia="Times New Roman" w:hAnsi="Times New Roman" w:cs="Times New Roman"/>
          <w:sz w:val="26"/>
          <w:szCs w:val="26"/>
          <w:lang w:eastAsia="ru-RU"/>
        </w:rPr>
        <w:t xml:space="preserve"> бюджетной отчетности</w:t>
      </w:r>
      <w:r w:rsidRPr="00381E63">
        <w:rPr>
          <w:rFonts w:ascii="Times New Roman" w:eastAsia="Times New Roman" w:hAnsi="Times New Roman" w:cs="Times New Roman"/>
          <w:sz w:val="26"/>
          <w:szCs w:val="26"/>
          <w:lang w:eastAsia="ru-RU"/>
        </w:rPr>
        <w:t>:</w:t>
      </w:r>
    </w:p>
    <w:p w:rsidR="00381E63" w:rsidRPr="00F811B5" w:rsidRDefault="00381E63" w:rsidP="00381E63">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F811B5">
        <w:rPr>
          <w:rFonts w:ascii="Times New Roman" w:eastAsia="Times New Roman" w:hAnsi="Times New Roman" w:cs="Times New Roman"/>
          <w:sz w:val="20"/>
          <w:szCs w:val="20"/>
          <w:lang w:eastAsia="ru-RU"/>
        </w:rPr>
        <w:t xml:space="preserve"> (</w:t>
      </w:r>
      <w:proofErr w:type="spellStart"/>
      <w:r w:rsidRPr="00F811B5">
        <w:rPr>
          <w:rFonts w:ascii="Times New Roman" w:eastAsia="Times New Roman" w:hAnsi="Times New Roman" w:cs="Times New Roman"/>
          <w:sz w:val="20"/>
          <w:szCs w:val="20"/>
          <w:lang w:eastAsia="ru-RU"/>
        </w:rPr>
        <w:t>тыс.руб</w:t>
      </w:r>
      <w:proofErr w:type="spellEnd"/>
      <w:r w:rsidRPr="00F811B5">
        <w:rPr>
          <w:rFonts w:ascii="Times New Roman" w:eastAsia="Times New Roman" w:hAnsi="Times New Roman" w:cs="Times New Roman"/>
          <w:sz w:val="20"/>
          <w:szCs w:val="20"/>
          <w:lang w:eastAsia="ru-RU"/>
        </w:rPr>
        <w:t xml:space="preserve">) </w:t>
      </w:r>
    </w:p>
    <w:tbl>
      <w:tblPr>
        <w:tblStyle w:val="a4"/>
        <w:tblW w:w="0" w:type="auto"/>
        <w:tblLook w:val="04A0" w:firstRow="1" w:lastRow="0" w:firstColumn="1" w:lastColumn="0" w:noHBand="0" w:noVBand="1"/>
      </w:tblPr>
      <w:tblGrid>
        <w:gridCol w:w="2763"/>
        <w:gridCol w:w="903"/>
        <w:gridCol w:w="1086"/>
        <w:gridCol w:w="1165"/>
        <w:gridCol w:w="1252"/>
        <w:gridCol w:w="1011"/>
        <w:gridCol w:w="1165"/>
      </w:tblGrid>
      <w:tr w:rsidR="00F40038" w:rsidRPr="00E0682B" w:rsidTr="00667338">
        <w:trPr>
          <w:trHeight w:val="20"/>
        </w:trPr>
        <w:tc>
          <w:tcPr>
            <w:tcW w:w="2763" w:type="dxa"/>
            <w:vMerge w:val="restart"/>
            <w:noWrap/>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Форма годовой отчетности</w:t>
            </w:r>
          </w:p>
        </w:tc>
        <w:tc>
          <w:tcPr>
            <w:tcW w:w="3154" w:type="dxa"/>
            <w:gridSpan w:val="3"/>
            <w:noWrap/>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На 01.01.2021</w:t>
            </w:r>
            <w:r>
              <w:rPr>
                <w:rFonts w:ascii="Times New Roman" w:hAnsi="Times New Roman" w:cs="Times New Roman"/>
                <w:sz w:val="20"/>
                <w:szCs w:val="20"/>
              </w:rPr>
              <w:t xml:space="preserve"> (столбец 2,4)</w:t>
            </w:r>
          </w:p>
        </w:tc>
        <w:tc>
          <w:tcPr>
            <w:tcW w:w="3428" w:type="dxa"/>
            <w:gridSpan w:val="3"/>
            <w:noWrap/>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На 01.01.2022</w:t>
            </w:r>
            <w:r>
              <w:rPr>
                <w:rFonts w:ascii="Times New Roman" w:hAnsi="Times New Roman" w:cs="Times New Roman"/>
                <w:sz w:val="20"/>
                <w:szCs w:val="20"/>
              </w:rPr>
              <w:t xml:space="preserve"> (столбец 9,11)</w:t>
            </w:r>
          </w:p>
        </w:tc>
      </w:tr>
      <w:tr w:rsidR="00F40038" w:rsidRPr="00E0682B" w:rsidTr="00667338">
        <w:trPr>
          <w:trHeight w:val="20"/>
        </w:trPr>
        <w:tc>
          <w:tcPr>
            <w:tcW w:w="2763" w:type="dxa"/>
            <w:vMerge/>
            <w:hideMark/>
          </w:tcPr>
          <w:p w:rsidR="00F40038" w:rsidRPr="00E0682B" w:rsidRDefault="00F40038" w:rsidP="00667338">
            <w:pPr>
              <w:jc w:val="center"/>
              <w:rPr>
                <w:rFonts w:ascii="Times New Roman" w:hAnsi="Times New Roman" w:cs="Times New Roman"/>
                <w:sz w:val="20"/>
                <w:szCs w:val="20"/>
              </w:rPr>
            </w:pPr>
          </w:p>
        </w:tc>
        <w:tc>
          <w:tcPr>
            <w:tcW w:w="903" w:type="dxa"/>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 xml:space="preserve">по данным  </w:t>
            </w:r>
            <w:proofErr w:type="spellStart"/>
            <w:r w:rsidRPr="00E0682B">
              <w:rPr>
                <w:rFonts w:ascii="Times New Roman" w:hAnsi="Times New Roman" w:cs="Times New Roman"/>
                <w:sz w:val="20"/>
                <w:szCs w:val="20"/>
              </w:rPr>
              <w:t>УМХиГ</w:t>
            </w:r>
            <w:proofErr w:type="spellEnd"/>
          </w:p>
        </w:tc>
        <w:tc>
          <w:tcPr>
            <w:tcW w:w="1086" w:type="dxa"/>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По данным проверки</w:t>
            </w:r>
          </w:p>
        </w:tc>
        <w:tc>
          <w:tcPr>
            <w:tcW w:w="1165" w:type="dxa"/>
            <w:noWrap/>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Искажение</w:t>
            </w:r>
          </w:p>
        </w:tc>
        <w:tc>
          <w:tcPr>
            <w:tcW w:w="1252" w:type="dxa"/>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 xml:space="preserve">по </w:t>
            </w:r>
            <w:r w:rsidR="00203DC8" w:rsidRPr="00E0682B">
              <w:rPr>
                <w:rFonts w:ascii="Times New Roman" w:hAnsi="Times New Roman" w:cs="Times New Roman"/>
                <w:sz w:val="20"/>
                <w:szCs w:val="20"/>
              </w:rPr>
              <w:t xml:space="preserve">данным </w:t>
            </w:r>
            <w:proofErr w:type="spellStart"/>
            <w:r w:rsidR="00203DC8" w:rsidRPr="00E0682B">
              <w:rPr>
                <w:rFonts w:ascii="Times New Roman" w:hAnsi="Times New Roman" w:cs="Times New Roman"/>
                <w:sz w:val="20"/>
                <w:szCs w:val="20"/>
              </w:rPr>
              <w:t>УМХиГ</w:t>
            </w:r>
            <w:proofErr w:type="spellEnd"/>
          </w:p>
        </w:tc>
        <w:tc>
          <w:tcPr>
            <w:tcW w:w="1011" w:type="dxa"/>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По данным проверки</w:t>
            </w:r>
          </w:p>
        </w:tc>
        <w:tc>
          <w:tcPr>
            <w:tcW w:w="1165" w:type="dxa"/>
            <w:noWrap/>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Искажение</w:t>
            </w:r>
          </w:p>
        </w:tc>
      </w:tr>
      <w:tr w:rsidR="00F40038" w:rsidRPr="00E0682B" w:rsidTr="00667338">
        <w:trPr>
          <w:trHeight w:val="20"/>
        </w:trPr>
        <w:tc>
          <w:tcPr>
            <w:tcW w:w="2763" w:type="dxa"/>
            <w:hideMark/>
          </w:tcPr>
          <w:p w:rsidR="00F40038" w:rsidRPr="00E0682B" w:rsidRDefault="00F40038" w:rsidP="00667338">
            <w:pPr>
              <w:jc w:val="both"/>
              <w:rPr>
                <w:rFonts w:ascii="Times New Roman" w:hAnsi="Times New Roman" w:cs="Times New Roman"/>
                <w:sz w:val="20"/>
                <w:szCs w:val="20"/>
              </w:rPr>
            </w:pPr>
            <w:r>
              <w:rPr>
                <w:rFonts w:ascii="Times New Roman" w:hAnsi="Times New Roman" w:cs="Times New Roman"/>
                <w:sz w:val="20"/>
                <w:szCs w:val="20"/>
              </w:rPr>
              <w:t xml:space="preserve">Сведения по </w:t>
            </w:r>
            <w:r w:rsidRPr="00E0682B">
              <w:rPr>
                <w:rFonts w:ascii="Times New Roman" w:hAnsi="Times New Roman" w:cs="Times New Roman"/>
                <w:sz w:val="20"/>
                <w:szCs w:val="20"/>
              </w:rPr>
              <w:t>дебиторской и кредиторской задолженности (ф.0503169) (</w:t>
            </w:r>
            <w:proofErr w:type="gramStart"/>
            <w:r w:rsidRPr="00E0682B">
              <w:rPr>
                <w:rFonts w:ascii="Times New Roman" w:hAnsi="Times New Roman" w:cs="Times New Roman"/>
                <w:sz w:val="20"/>
                <w:szCs w:val="20"/>
              </w:rPr>
              <w:t>кредиторская)</w:t>
            </w:r>
            <w:r>
              <w:rPr>
                <w:rFonts w:ascii="Times New Roman" w:hAnsi="Times New Roman" w:cs="Times New Roman"/>
                <w:sz w:val="20"/>
                <w:szCs w:val="20"/>
              </w:rPr>
              <w:t xml:space="preserve">  КБК</w:t>
            </w:r>
            <w:proofErr w:type="gramEnd"/>
            <w:r>
              <w:rPr>
                <w:rFonts w:ascii="Times New Roman" w:hAnsi="Times New Roman" w:cs="Times New Roman"/>
                <w:sz w:val="20"/>
                <w:szCs w:val="20"/>
              </w:rPr>
              <w:t xml:space="preserve"> 1110507404000120 </w:t>
            </w:r>
          </w:p>
        </w:tc>
        <w:tc>
          <w:tcPr>
            <w:tcW w:w="903" w:type="dxa"/>
            <w:noWrap/>
            <w:hideMark/>
          </w:tcPr>
          <w:p w:rsidR="00F40038" w:rsidRPr="00E0682B" w:rsidRDefault="00F40038" w:rsidP="00667338">
            <w:pPr>
              <w:jc w:val="center"/>
              <w:rPr>
                <w:rFonts w:ascii="Times New Roman" w:hAnsi="Times New Roman" w:cs="Times New Roman"/>
                <w:sz w:val="20"/>
                <w:szCs w:val="20"/>
              </w:rPr>
            </w:pPr>
            <w:r w:rsidRPr="00E0682B">
              <w:rPr>
                <w:rFonts w:ascii="Times New Roman" w:hAnsi="Times New Roman" w:cs="Times New Roman"/>
                <w:sz w:val="20"/>
                <w:szCs w:val="20"/>
              </w:rPr>
              <w:t>0</w:t>
            </w:r>
          </w:p>
        </w:tc>
        <w:tc>
          <w:tcPr>
            <w:tcW w:w="1086" w:type="dxa"/>
            <w:noWrap/>
            <w:hideMark/>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133,4</w:t>
            </w:r>
          </w:p>
        </w:tc>
        <w:tc>
          <w:tcPr>
            <w:tcW w:w="1165" w:type="dxa"/>
            <w:noWrap/>
            <w:hideMark/>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-133,4</w:t>
            </w:r>
          </w:p>
        </w:tc>
        <w:tc>
          <w:tcPr>
            <w:tcW w:w="1252" w:type="dxa"/>
            <w:noWrap/>
            <w:hideMark/>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0</w:t>
            </w:r>
          </w:p>
        </w:tc>
        <w:tc>
          <w:tcPr>
            <w:tcW w:w="1011" w:type="dxa"/>
            <w:noWrap/>
            <w:hideMark/>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96,7</w:t>
            </w:r>
          </w:p>
        </w:tc>
        <w:tc>
          <w:tcPr>
            <w:tcW w:w="1165" w:type="dxa"/>
            <w:noWrap/>
            <w:hideMark/>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-96,7</w:t>
            </w:r>
          </w:p>
        </w:tc>
      </w:tr>
      <w:tr w:rsidR="00F40038" w:rsidRPr="00E0682B" w:rsidTr="00667338">
        <w:trPr>
          <w:trHeight w:val="20"/>
        </w:trPr>
        <w:tc>
          <w:tcPr>
            <w:tcW w:w="2763" w:type="dxa"/>
            <w:hideMark/>
          </w:tcPr>
          <w:p w:rsidR="00F40038" w:rsidRDefault="00F40038" w:rsidP="001A55A9">
            <w:pPr>
              <w:ind w:firstLine="709"/>
              <w:jc w:val="both"/>
              <w:rPr>
                <w:rFonts w:ascii="Times New Roman" w:hAnsi="Times New Roman" w:cs="Times New Roman"/>
                <w:sz w:val="20"/>
                <w:szCs w:val="20"/>
              </w:rPr>
            </w:pPr>
            <w:r>
              <w:rPr>
                <w:rFonts w:ascii="Times New Roman" w:hAnsi="Times New Roman" w:cs="Times New Roman"/>
                <w:sz w:val="20"/>
                <w:szCs w:val="20"/>
              </w:rPr>
              <w:t xml:space="preserve">Сведения по </w:t>
            </w:r>
            <w:r w:rsidRPr="00E0682B">
              <w:rPr>
                <w:rFonts w:ascii="Times New Roman" w:hAnsi="Times New Roman" w:cs="Times New Roman"/>
                <w:sz w:val="20"/>
                <w:szCs w:val="20"/>
              </w:rPr>
              <w:t>дебиторской и кредиторской задолженности (ф.0503169) (дебиторская)</w:t>
            </w:r>
          </w:p>
          <w:p w:rsidR="00F40038" w:rsidRPr="00E0682B" w:rsidRDefault="00F40038" w:rsidP="001A55A9">
            <w:pPr>
              <w:ind w:firstLine="709"/>
              <w:jc w:val="both"/>
              <w:rPr>
                <w:rFonts w:ascii="Times New Roman" w:hAnsi="Times New Roman" w:cs="Times New Roman"/>
                <w:sz w:val="20"/>
                <w:szCs w:val="20"/>
              </w:rPr>
            </w:pPr>
            <w:r>
              <w:rPr>
                <w:rFonts w:ascii="Times New Roman" w:hAnsi="Times New Roman" w:cs="Times New Roman"/>
                <w:sz w:val="20"/>
                <w:szCs w:val="20"/>
              </w:rPr>
              <w:t>КБК 1110507404000120</w:t>
            </w:r>
          </w:p>
        </w:tc>
        <w:tc>
          <w:tcPr>
            <w:tcW w:w="903" w:type="dxa"/>
            <w:noWrap/>
            <w:hideMark/>
          </w:tcPr>
          <w:p w:rsidR="00F40038" w:rsidRPr="00E0682B" w:rsidRDefault="00F40038" w:rsidP="00314021">
            <w:pPr>
              <w:ind w:left="-778" w:firstLine="709"/>
              <w:jc w:val="center"/>
              <w:rPr>
                <w:rFonts w:ascii="Times New Roman" w:hAnsi="Times New Roman" w:cs="Times New Roman"/>
                <w:sz w:val="20"/>
                <w:szCs w:val="20"/>
              </w:rPr>
            </w:pPr>
            <w:r>
              <w:rPr>
                <w:rFonts w:ascii="Times New Roman" w:hAnsi="Times New Roman" w:cs="Times New Roman"/>
                <w:sz w:val="20"/>
                <w:szCs w:val="20"/>
              </w:rPr>
              <w:t>1418,9</w:t>
            </w:r>
          </w:p>
        </w:tc>
        <w:tc>
          <w:tcPr>
            <w:tcW w:w="1086" w:type="dxa"/>
            <w:noWrap/>
            <w:hideMark/>
          </w:tcPr>
          <w:p w:rsidR="00F40038" w:rsidRPr="00E0682B" w:rsidRDefault="00F40038" w:rsidP="00314021">
            <w:pPr>
              <w:ind w:left="-778" w:firstLine="709"/>
              <w:jc w:val="center"/>
              <w:rPr>
                <w:rFonts w:ascii="Times New Roman" w:hAnsi="Times New Roman" w:cs="Times New Roman"/>
                <w:sz w:val="20"/>
                <w:szCs w:val="20"/>
              </w:rPr>
            </w:pPr>
            <w:r>
              <w:rPr>
                <w:rFonts w:ascii="Times New Roman" w:hAnsi="Times New Roman" w:cs="Times New Roman"/>
                <w:sz w:val="20"/>
                <w:szCs w:val="20"/>
              </w:rPr>
              <w:t>1236,1</w:t>
            </w:r>
          </w:p>
        </w:tc>
        <w:tc>
          <w:tcPr>
            <w:tcW w:w="1165" w:type="dxa"/>
            <w:noWrap/>
            <w:hideMark/>
          </w:tcPr>
          <w:p w:rsidR="00F40038" w:rsidRPr="00E0682B" w:rsidRDefault="00F40038" w:rsidP="00314021">
            <w:pPr>
              <w:ind w:left="-778" w:firstLine="709"/>
              <w:jc w:val="center"/>
              <w:rPr>
                <w:rFonts w:ascii="Times New Roman" w:hAnsi="Times New Roman" w:cs="Times New Roman"/>
                <w:sz w:val="20"/>
                <w:szCs w:val="20"/>
              </w:rPr>
            </w:pPr>
            <w:r>
              <w:rPr>
                <w:rFonts w:ascii="Times New Roman" w:hAnsi="Times New Roman" w:cs="Times New Roman"/>
                <w:sz w:val="20"/>
                <w:szCs w:val="20"/>
              </w:rPr>
              <w:t>182,8</w:t>
            </w:r>
          </w:p>
        </w:tc>
        <w:tc>
          <w:tcPr>
            <w:tcW w:w="1252" w:type="dxa"/>
            <w:noWrap/>
            <w:hideMark/>
          </w:tcPr>
          <w:p w:rsidR="00F40038" w:rsidRPr="00E0682B" w:rsidRDefault="00F40038" w:rsidP="00314021">
            <w:pPr>
              <w:ind w:left="-778" w:firstLine="709"/>
              <w:jc w:val="center"/>
              <w:rPr>
                <w:rFonts w:ascii="Times New Roman" w:hAnsi="Times New Roman" w:cs="Times New Roman"/>
                <w:sz w:val="20"/>
                <w:szCs w:val="20"/>
              </w:rPr>
            </w:pPr>
            <w:r>
              <w:rPr>
                <w:rFonts w:ascii="Times New Roman" w:hAnsi="Times New Roman" w:cs="Times New Roman"/>
                <w:sz w:val="20"/>
                <w:szCs w:val="20"/>
              </w:rPr>
              <w:t>1510,5</w:t>
            </w:r>
          </w:p>
        </w:tc>
        <w:tc>
          <w:tcPr>
            <w:tcW w:w="1011" w:type="dxa"/>
            <w:noWrap/>
            <w:hideMark/>
          </w:tcPr>
          <w:p w:rsidR="00F40038" w:rsidRPr="00E0682B" w:rsidRDefault="003F7B4E" w:rsidP="00314021">
            <w:pPr>
              <w:ind w:left="-778" w:firstLine="709"/>
              <w:rPr>
                <w:rFonts w:ascii="Times New Roman" w:hAnsi="Times New Roman" w:cs="Times New Roman"/>
                <w:sz w:val="20"/>
                <w:szCs w:val="20"/>
              </w:rPr>
            </w:pPr>
            <w:r>
              <w:rPr>
                <w:rFonts w:ascii="Times New Roman" w:hAnsi="Times New Roman" w:cs="Times New Roman"/>
                <w:sz w:val="20"/>
                <w:szCs w:val="20"/>
              </w:rPr>
              <w:t>1356,6</w:t>
            </w:r>
          </w:p>
        </w:tc>
        <w:tc>
          <w:tcPr>
            <w:tcW w:w="1165" w:type="dxa"/>
            <w:noWrap/>
            <w:hideMark/>
          </w:tcPr>
          <w:p w:rsidR="00F40038" w:rsidRPr="00E0682B" w:rsidRDefault="003F7B4E" w:rsidP="00314021">
            <w:pPr>
              <w:ind w:left="-778" w:firstLine="709"/>
              <w:jc w:val="center"/>
              <w:rPr>
                <w:rFonts w:ascii="Times New Roman" w:hAnsi="Times New Roman" w:cs="Times New Roman"/>
                <w:sz w:val="20"/>
                <w:szCs w:val="20"/>
              </w:rPr>
            </w:pPr>
            <w:r>
              <w:rPr>
                <w:rFonts w:ascii="Times New Roman" w:hAnsi="Times New Roman" w:cs="Times New Roman"/>
                <w:sz w:val="20"/>
                <w:szCs w:val="20"/>
              </w:rPr>
              <w:t>153,9</w:t>
            </w:r>
          </w:p>
        </w:tc>
      </w:tr>
    </w:tbl>
    <w:p w:rsidR="00203DC8" w:rsidRDefault="00203DC8" w:rsidP="001A55A9">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Дебиторская задолженность </w:t>
      </w:r>
      <w:r w:rsidRPr="00203DC8">
        <w:rPr>
          <w:rFonts w:ascii="Times New Roman" w:hAnsi="Times New Roman" w:cs="Times New Roman"/>
          <w:sz w:val="26"/>
          <w:szCs w:val="26"/>
          <w:lang w:eastAsia="ru-RU"/>
        </w:rPr>
        <w:t>была необоснова</w:t>
      </w:r>
      <w:r>
        <w:rPr>
          <w:rFonts w:ascii="Times New Roman" w:hAnsi="Times New Roman" w:cs="Times New Roman"/>
          <w:sz w:val="26"/>
          <w:szCs w:val="26"/>
          <w:lang w:eastAsia="ru-RU"/>
        </w:rPr>
        <w:t xml:space="preserve">нно увеличена на задолженность ООО «Лидер+» в </w:t>
      </w:r>
      <w:r w:rsidRPr="00203DC8">
        <w:rPr>
          <w:rFonts w:ascii="Times New Roman" w:hAnsi="Times New Roman" w:cs="Times New Roman"/>
          <w:sz w:val="26"/>
          <w:szCs w:val="26"/>
          <w:lang w:eastAsia="ru-RU"/>
        </w:rPr>
        <w:t xml:space="preserve">сумме </w:t>
      </w:r>
      <w:proofErr w:type="gramStart"/>
      <w:r w:rsidRPr="00203DC8">
        <w:rPr>
          <w:rFonts w:ascii="Times New Roman" w:hAnsi="Times New Roman" w:cs="Times New Roman"/>
          <w:sz w:val="26"/>
          <w:szCs w:val="26"/>
          <w:lang w:eastAsia="ru-RU"/>
        </w:rPr>
        <w:t>7,6тыс.руб</w:t>
      </w:r>
      <w:proofErr w:type="gramEnd"/>
      <w:r w:rsidRPr="00203DC8">
        <w:rPr>
          <w:rFonts w:ascii="Times New Roman" w:hAnsi="Times New Roman" w:cs="Times New Roman"/>
          <w:sz w:val="26"/>
          <w:szCs w:val="26"/>
          <w:lang w:eastAsia="ru-RU"/>
        </w:rPr>
        <w:t>, погашенная в 2020году и ООО «Бизнес Медиа Консалтинг» в сумме 308,6тыс.руб, признанная бе</w:t>
      </w:r>
      <w:r>
        <w:rPr>
          <w:rFonts w:ascii="Times New Roman" w:hAnsi="Times New Roman" w:cs="Times New Roman"/>
          <w:sz w:val="26"/>
          <w:szCs w:val="26"/>
          <w:lang w:eastAsia="ru-RU"/>
        </w:rPr>
        <w:t>знадежной к взысканию в 2018г. (</w:t>
      </w:r>
      <w:r w:rsidRPr="00203DC8">
        <w:rPr>
          <w:rFonts w:ascii="Times New Roman" w:hAnsi="Times New Roman" w:cs="Times New Roman"/>
          <w:sz w:val="26"/>
          <w:szCs w:val="26"/>
          <w:lang w:eastAsia="ru-RU"/>
        </w:rPr>
        <w:t>протокол заседания комиссии о признании безнадежной к взысканию и списания задолженности по платежам в бюджет муниципального образования «Город Коряжма» №3 от 22.12.2018).</w:t>
      </w:r>
    </w:p>
    <w:p w:rsidR="00D27029" w:rsidRDefault="00203DC8" w:rsidP="001A55A9">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Кроме того, в</w:t>
      </w:r>
      <w:r w:rsidR="00D27029" w:rsidRPr="00A83836">
        <w:rPr>
          <w:rFonts w:ascii="Times New Roman" w:hAnsi="Times New Roman" w:cs="Times New Roman"/>
          <w:sz w:val="26"/>
          <w:szCs w:val="26"/>
          <w:lang w:eastAsia="ru-RU"/>
        </w:rPr>
        <w:t xml:space="preserve"> нарушении п.167 Инструкции 191</w:t>
      </w:r>
      <w:r w:rsidR="00D27029">
        <w:rPr>
          <w:rFonts w:ascii="Times New Roman" w:hAnsi="Times New Roman" w:cs="Times New Roman"/>
          <w:sz w:val="26"/>
          <w:szCs w:val="26"/>
          <w:lang w:eastAsia="ru-RU"/>
        </w:rPr>
        <w:t>н в Св</w:t>
      </w:r>
      <w:r w:rsidR="00D27029" w:rsidRPr="005350D6">
        <w:rPr>
          <w:rFonts w:ascii="Times New Roman" w:hAnsi="Times New Roman" w:cs="Times New Roman"/>
          <w:sz w:val="26"/>
          <w:szCs w:val="26"/>
          <w:lang w:eastAsia="ru-RU"/>
        </w:rPr>
        <w:t xml:space="preserve">едения по дебиторской и кредиторской задолженности </w:t>
      </w:r>
      <w:r w:rsidR="00D27029" w:rsidRPr="00A83836">
        <w:rPr>
          <w:rFonts w:ascii="Times New Roman" w:hAnsi="Times New Roman" w:cs="Times New Roman"/>
          <w:sz w:val="26"/>
          <w:szCs w:val="26"/>
          <w:lang w:eastAsia="ru-RU"/>
        </w:rPr>
        <w:t>(ф.0503169) задолженность на 01.01.2021 и на 01.01.2022 показана свернутым</w:t>
      </w:r>
      <w:r w:rsidR="003F7B4E">
        <w:rPr>
          <w:rFonts w:ascii="Times New Roman" w:hAnsi="Times New Roman" w:cs="Times New Roman"/>
          <w:sz w:val="26"/>
          <w:szCs w:val="26"/>
          <w:lang w:eastAsia="ru-RU"/>
        </w:rPr>
        <w:t xml:space="preserve"> сальдо, что привело к занижению</w:t>
      </w:r>
      <w:r w:rsidR="00D27029" w:rsidRPr="00A83836">
        <w:rPr>
          <w:rFonts w:ascii="Times New Roman" w:hAnsi="Times New Roman" w:cs="Times New Roman"/>
          <w:sz w:val="26"/>
          <w:szCs w:val="26"/>
          <w:lang w:eastAsia="ru-RU"/>
        </w:rPr>
        <w:t xml:space="preserve"> дебиторской задолженности и не отражению кредиторской задолженности на 01.01.2021г.  в сумме </w:t>
      </w:r>
      <w:proofErr w:type="gramStart"/>
      <w:r w:rsidR="00D27029" w:rsidRPr="00A83836">
        <w:rPr>
          <w:rFonts w:ascii="Times New Roman" w:hAnsi="Times New Roman" w:cs="Times New Roman"/>
          <w:sz w:val="26"/>
          <w:szCs w:val="26"/>
          <w:lang w:eastAsia="ru-RU"/>
        </w:rPr>
        <w:t>133</w:t>
      </w:r>
      <w:r>
        <w:rPr>
          <w:rFonts w:ascii="Times New Roman" w:hAnsi="Times New Roman" w:cs="Times New Roman"/>
          <w:sz w:val="26"/>
          <w:szCs w:val="26"/>
          <w:lang w:eastAsia="ru-RU"/>
        </w:rPr>
        <w:t>,4тыс.руб</w:t>
      </w:r>
      <w:proofErr w:type="gramEnd"/>
      <w:r w:rsidR="00D27029" w:rsidRPr="00A83836">
        <w:rPr>
          <w:rFonts w:ascii="Times New Roman" w:hAnsi="Times New Roman" w:cs="Times New Roman"/>
          <w:sz w:val="26"/>
          <w:szCs w:val="26"/>
          <w:lang w:eastAsia="ru-RU"/>
        </w:rPr>
        <w:t>, на 01.01.2022г. 96</w:t>
      </w:r>
      <w:r>
        <w:rPr>
          <w:rFonts w:ascii="Times New Roman" w:hAnsi="Times New Roman" w:cs="Times New Roman"/>
          <w:sz w:val="26"/>
          <w:szCs w:val="26"/>
          <w:lang w:eastAsia="ru-RU"/>
        </w:rPr>
        <w:t>,7тыс.руб</w:t>
      </w:r>
      <w:r w:rsidR="00D27029" w:rsidRPr="00A83836">
        <w:rPr>
          <w:rFonts w:ascii="Times New Roman" w:hAnsi="Times New Roman" w:cs="Times New Roman"/>
          <w:sz w:val="26"/>
          <w:szCs w:val="26"/>
          <w:lang w:eastAsia="ru-RU"/>
        </w:rPr>
        <w:t xml:space="preserve">. По данным проверки сумма дебиторской задолженности на 01.01.2021 должна составлять </w:t>
      </w:r>
      <w:proofErr w:type="gramStart"/>
      <w:r w:rsidR="00D27029" w:rsidRPr="00A83836">
        <w:rPr>
          <w:rFonts w:ascii="Times New Roman" w:hAnsi="Times New Roman" w:cs="Times New Roman"/>
          <w:sz w:val="26"/>
          <w:szCs w:val="26"/>
          <w:lang w:eastAsia="ru-RU"/>
        </w:rPr>
        <w:t>1236</w:t>
      </w:r>
      <w:r>
        <w:rPr>
          <w:rFonts w:ascii="Times New Roman" w:hAnsi="Times New Roman" w:cs="Times New Roman"/>
          <w:sz w:val="26"/>
          <w:szCs w:val="26"/>
          <w:lang w:eastAsia="ru-RU"/>
        </w:rPr>
        <w:t>,1тыс.руб</w:t>
      </w:r>
      <w:proofErr w:type="gramEnd"/>
      <w:r>
        <w:rPr>
          <w:rFonts w:ascii="Times New Roman" w:hAnsi="Times New Roman" w:cs="Times New Roman"/>
          <w:sz w:val="26"/>
          <w:szCs w:val="26"/>
          <w:lang w:eastAsia="ru-RU"/>
        </w:rPr>
        <w:t>, на 01.01.2022  1356,6</w:t>
      </w:r>
      <w:r w:rsidR="00D27029" w:rsidRPr="00A83836">
        <w:rPr>
          <w:rFonts w:ascii="Times New Roman" w:hAnsi="Times New Roman" w:cs="Times New Roman"/>
          <w:sz w:val="26"/>
          <w:szCs w:val="26"/>
          <w:lang w:eastAsia="ru-RU"/>
        </w:rPr>
        <w:t xml:space="preserve">руб. </w:t>
      </w:r>
      <w:r>
        <w:rPr>
          <w:rFonts w:ascii="Times New Roman" w:hAnsi="Times New Roman" w:cs="Times New Roman"/>
          <w:sz w:val="26"/>
          <w:szCs w:val="26"/>
          <w:lang w:eastAsia="ru-RU"/>
        </w:rPr>
        <w:t xml:space="preserve"> Искажение сведений </w:t>
      </w:r>
      <w:r w:rsidRPr="00203DC8">
        <w:rPr>
          <w:rFonts w:ascii="Times New Roman" w:hAnsi="Times New Roman" w:cs="Times New Roman"/>
          <w:sz w:val="26"/>
          <w:szCs w:val="26"/>
          <w:lang w:eastAsia="ru-RU"/>
        </w:rPr>
        <w:t>по дебиторской и кредиторской задолженности (ф.0503169) (дебиторская)</w:t>
      </w:r>
      <w:r w:rsidR="00B47513">
        <w:rPr>
          <w:rFonts w:ascii="Times New Roman" w:hAnsi="Times New Roman" w:cs="Times New Roman"/>
          <w:sz w:val="26"/>
          <w:szCs w:val="26"/>
          <w:lang w:eastAsia="ru-RU"/>
        </w:rPr>
        <w:t xml:space="preserve"> на 01.01.2021 составило  182,8тыс.руб, на 01.01.2022</w:t>
      </w:r>
      <w:r w:rsidR="00557B1C">
        <w:rPr>
          <w:rFonts w:ascii="Times New Roman" w:hAnsi="Times New Roman" w:cs="Times New Roman"/>
          <w:sz w:val="26"/>
          <w:szCs w:val="26"/>
          <w:lang w:eastAsia="ru-RU"/>
        </w:rPr>
        <w:t xml:space="preserve"> </w:t>
      </w:r>
      <w:r w:rsidR="00B47513">
        <w:rPr>
          <w:rFonts w:ascii="Times New Roman" w:hAnsi="Times New Roman" w:cs="Times New Roman"/>
          <w:sz w:val="26"/>
          <w:szCs w:val="26"/>
          <w:lang w:eastAsia="ru-RU"/>
        </w:rPr>
        <w:t xml:space="preserve"> 153,9тыс.руб</w:t>
      </w:r>
      <w:r w:rsidR="00557B1C">
        <w:rPr>
          <w:rFonts w:ascii="Times New Roman" w:hAnsi="Times New Roman" w:cs="Times New Roman"/>
          <w:sz w:val="26"/>
          <w:szCs w:val="26"/>
          <w:lang w:eastAsia="ru-RU"/>
        </w:rPr>
        <w:t>.</w:t>
      </w:r>
    </w:p>
    <w:p w:rsidR="00075ECE" w:rsidRDefault="00075ECE" w:rsidP="001A55A9">
      <w:pPr>
        <w:spacing w:after="0" w:line="240" w:lineRule="auto"/>
        <w:ind w:firstLine="709"/>
        <w:jc w:val="both"/>
        <w:rPr>
          <w:rFonts w:ascii="Times New Roman" w:hAnsi="Times New Roman" w:cs="Times New Roman"/>
          <w:sz w:val="26"/>
          <w:szCs w:val="26"/>
          <w:lang w:eastAsia="ru-RU"/>
        </w:rPr>
      </w:pPr>
      <w:r w:rsidRPr="00075ECE">
        <w:rPr>
          <w:rFonts w:ascii="Times New Roman" w:hAnsi="Times New Roman" w:cs="Times New Roman"/>
          <w:sz w:val="26"/>
          <w:szCs w:val="26"/>
          <w:lang w:eastAsia="ru-RU"/>
        </w:rPr>
        <w:t>В нарушении п.1 ст.10 Закона №402-ФЗ регистры бухгалтерского учета формируются не на основании первичных документов (договоров), что привело к искажению Справки по заключению счетов бюджетного учета и отчетности финансового года (ф.0503110), Отчета об исполнении бюджета (ф. 0503127)</w:t>
      </w:r>
      <w:r>
        <w:rPr>
          <w:rFonts w:ascii="Times New Roman" w:hAnsi="Times New Roman" w:cs="Times New Roman"/>
          <w:sz w:val="26"/>
          <w:szCs w:val="26"/>
          <w:lang w:eastAsia="ru-RU"/>
        </w:rPr>
        <w:t>:</w:t>
      </w:r>
    </w:p>
    <w:p w:rsidR="001A55A9" w:rsidRDefault="001A55A9" w:rsidP="001A55A9">
      <w:pPr>
        <w:spacing w:after="0" w:line="240" w:lineRule="auto"/>
        <w:ind w:firstLine="851"/>
        <w:jc w:val="right"/>
        <w:rPr>
          <w:rFonts w:ascii="Times New Roman" w:hAnsi="Times New Roman" w:cs="Times New Roman"/>
          <w:sz w:val="20"/>
          <w:szCs w:val="20"/>
          <w:lang w:eastAsia="ru-RU"/>
        </w:rPr>
      </w:pPr>
    </w:p>
    <w:p w:rsidR="00E759D8" w:rsidRPr="00E759D8" w:rsidRDefault="00E759D8" w:rsidP="001A55A9">
      <w:pPr>
        <w:spacing w:after="0" w:line="240" w:lineRule="auto"/>
        <w:ind w:firstLine="851"/>
        <w:jc w:val="right"/>
        <w:rPr>
          <w:rFonts w:ascii="Times New Roman" w:hAnsi="Times New Roman" w:cs="Times New Roman"/>
          <w:sz w:val="20"/>
          <w:szCs w:val="20"/>
          <w:lang w:eastAsia="ru-RU"/>
        </w:rPr>
      </w:pPr>
      <w:proofErr w:type="spellStart"/>
      <w:r>
        <w:rPr>
          <w:rFonts w:ascii="Times New Roman" w:hAnsi="Times New Roman" w:cs="Times New Roman"/>
          <w:sz w:val="20"/>
          <w:szCs w:val="20"/>
          <w:lang w:eastAsia="ru-RU"/>
        </w:rPr>
        <w:t>тыс.руб</w:t>
      </w:r>
      <w:proofErr w:type="spellEnd"/>
    </w:p>
    <w:tbl>
      <w:tblPr>
        <w:tblStyle w:val="a4"/>
        <w:tblW w:w="9351" w:type="dxa"/>
        <w:tblLook w:val="04A0" w:firstRow="1" w:lastRow="0" w:firstColumn="1" w:lastColumn="0" w:noHBand="0" w:noVBand="1"/>
      </w:tblPr>
      <w:tblGrid>
        <w:gridCol w:w="2763"/>
        <w:gridCol w:w="2196"/>
        <w:gridCol w:w="1273"/>
        <w:gridCol w:w="3119"/>
      </w:tblGrid>
      <w:tr w:rsidR="00D27029" w:rsidRPr="00E0682B" w:rsidTr="00FA60C6">
        <w:trPr>
          <w:trHeight w:val="470"/>
        </w:trPr>
        <w:tc>
          <w:tcPr>
            <w:tcW w:w="2763" w:type="dxa"/>
            <w:noWrap/>
            <w:hideMark/>
          </w:tcPr>
          <w:p w:rsidR="00D27029" w:rsidRPr="00E0682B" w:rsidRDefault="00D27029" w:rsidP="00667338">
            <w:pPr>
              <w:jc w:val="center"/>
              <w:rPr>
                <w:rFonts w:ascii="Times New Roman" w:hAnsi="Times New Roman" w:cs="Times New Roman"/>
                <w:sz w:val="20"/>
                <w:szCs w:val="20"/>
              </w:rPr>
            </w:pPr>
            <w:r w:rsidRPr="00E0682B">
              <w:rPr>
                <w:rFonts w:ascii="Times New Roman" w:hAnsi="Times New Roman" w:cs="Times New Roman"/>
                <w:sz w:val="20"/>
                <w:szCs w:val="20"/>
              </w:rPr>
              <w:t>Форма годовой отчетности</w:t>
            </w:r>
          </w:p>
        </w:tc>
        <w:tc>
          <w:tcPr>
            <w:tcW w:w="2196" w:type="dxa"/>
            <w:noWrap/>
            <w:hideMark/>
          </w:tcPr>
          <w:p w:rsidR="00D27029" w:rsidRPr="00E0682B" w:rsidRDefault="00D27029" w:rsidP="00667338">
            <w:pPr>
              <w:jc w:val="center"/>
              <w:rPr>
                <w:rFonts w:ascii="Times New Roman" w:hAnsi="Times New Roman" w:cs="Times New Roman"/>
                <w:sz w:val="20"/>
                <w:szCs w:val="20"/>
              </w:rPr>
            </w:pPr>
            <w:r>
              <w:rPr>
                <w:rFonts w:ascii="Times New Roman" w:hAnsi="Times New Roman" w:cs="Times New Roman"/>
                <w:sz w:val="20"/>
                <w:szCs w:val="20"/>
              </w:rPr>
              <w:t xml:space="preserve"> </w:t>
            </w:r>
          </w:p>
          <w:p w:rsidR="00D27029" w:rsidRPr="00E0682B" w:rsidRDefault="00D27029" w:rsidP="00667338">
            <w:pPr>
              <w:jc w:val="center"/>
              <w:rPr>
                <w:rFonts w:ascii="Times New Roman" w:hAnsi="Times New Roman" w:cs="Times New Roman"/>
                <w:sz w:val="20"/>
                <w:szCs w:val="20"/>
              </w:rPr>
            </w:pPr>
            <w:r w:rsidRPr="00E0682B">
              <w:rPr>
                <w:rFonts w:ascii="Times New Roman" w:hAnsi="Times New Roman" w:cs="Times New Roman"/>
                <w:sz w:val="20"/>
                <w:szCs w:val="20"/>
              </w:rPr>
              <w:t xml:space="preserve">по данным  </w:t>
            </w:r>
            <w:proofErr w:type="spellStart"/>
            <w:r w:rsidRPr="00E0682B">
              <w:rPr>
                <w:rFonts w:ascii="Times New Roman" w:hAnsi="Times New Roman" w:cs="Times New Roman"/>
                <w:sz w:val="20"/>
                <w:szCs w:val="20"/>
              </w:rPr>
              <w:t>УМХиГ</w:t>
            </w:r>
            <w:proofErr w:type="spellEnd"/>
          </w:p>
        </w:tc>
        <w:tc>
          <w:tcPr>
            <w:tcW w:w="1273" w:type="dxa"/>
          </w:tcPr>
          <w:p w:rsidR="00D27029" w:rsidRPr="00E0682B" w:rsidRDefault="00D27029" w:rsidP="00667338">
            <w:pPr>
              <w:jc w:val="center"/>
              <w:rPr>
                <w:rFonts w:ascii="Times New Roman" w:hAnsi="Times New Roman" w:cs="Times New Roman"/>
                <w:sz w:val="20"/>
                <w:szCs w:val="20"/>
              </w:rPr>
            </w:pPr>
            <w:r w:rsidRPr="00E0682B">
              <w:rPr>
                <w:rFonts w:ascii="Times New Roman" w:hAnsi="Times New Roman" w:cs="Times New Roman"/>
                <w:sz w:val="20"/>
                <w:szCs w:val="20"/>
              </w:rPr>
              <w:t>По данным проверки</w:t>
            </w:r>
          </w:p>
        </w:tc>
        <w:tc>
          <w:tcPr>
            <w:tcW w:w="3119" w:type="dxa"/>
          </w:tcPr>
          <w:p w:rsidR="00D27029" w:rsidRPr="00E0682B" w:rsidRDefault="00D27029" w:rsidP="00667338">
            <w:pPr>
              <w:jc w:val="center"/>
              <w:rPr>
                <w:rFonts w:ascii="Times New Roman" w:hAnsi="Times New Roman" w:cs="Times New Roman"/>
                <w:sz w:val="20"/>
                <w:szCs w:val="20"/>
              </w:rPr>
            </w:pPr>
            <w:r w:rsidRPr="00E0682B">
              <w:rPr>
                <w:rFonts w:ascii="Times New Roman" w:hAnsi="Times New Roman" w:cs="Times New Roman"/>
                <w:sz w:val="20"/>
                <w:szCs w:val="20"/>
              </w:rPr>
              <w:t>Искажение</w:t>
            </w:r>
          </w:p>
        </w:tc>
      </w:tr>
      <w:tr w:rsidR="00F40038" w:rsidRPr="00E0682B" w:rsidTr="00F40038">
        <w:trPr>
          <w:trHeight w:val="20"/>
        </w:trPr>
        <w:tc>
          <w:tcPr>
            <w:tcW w:w="9351" w:type="dxa"/>
            <w:gridSpan w:val="4"/>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столбец 3,4,7</w:t>
            </w:r>
            <w:r w:rsidRPr="00E0682B">
              <w:rPr>
                <w:rFonts w:ascii="Times New Roman" w:hAnsi="Times New Roman" w:cs="Times New Roman"/>
                <w:sz w:val="20"/>
                <w:szCs w:val="20"/>
              </w:rPr>
              <w:t xml:space="preserve"> КБК</w:t>
            </w:r>
            <w:r>
              <w:rPr>
                <w:rFonts w:ascii="Times New Roman" w:hAnsi="Times New Roman" w:cs="Times New Roman"/>
                <w:sz w:val="20"/>
                <w:szCs w:val="20"/>
              </w:rPr>
              <w:t xml:space="preserve"> 111507404000120</w:t>
            </w:r>
          </w:p>
        </w:tc>
      </w:tr>
      <w:tr w:rsidR="00F40038" w:rsidRPr="00E0682B" w:rsidTr="00D27029">
        <w:trPr>
          <w:trHeight w:val="20"/>
        </w:trPr>
        <w:tc>
          <w:tcPr>
            <w:tcW w:w="2763" w:type="dxa"/>
          </w:tcPr>
          <w:p w:rsidR="00F40038" w:rsidRPr="00470DA8" w:rsidRDefault="00F40038" w:rsidP="00F40038">
            <w:pPr>
              <w:jc w:val="both"/>
              <w:rPr>
                <w:rFonts w:ascii="Times New Roman" w:hAnsi="Times New Roman" w:cs="Times New Roman"/>
                <w:sz w:val="20"/>
                <w:szCs w:val="20"/>
              </w:rPr>
            </w:pPr>
            <w:r w:rsidRPr="00470DA8">
              <w:rPr>
                <w:rFonts w:ascii="Times New Roman" w:hAnsi="Times New Roman" w:cs="Times New Roman"/>
                <w:sz w:val="20"/>
                <w:szCs w:val="20"/>
                <w:lang w:eastAsia="ru-RU"/>
              </w:rPr>
              <w:t xml:space="preserve">Справка по заключению счетов бюджетного учета и отчетности финансового года </w:t>
            </w:r>
            <w:proofErr w:type="gramStart"/>
            <w:r w:rsidRPr="00470DA8">
              <w:rPr>
                <w:rFonts w:ascii="Times New Roman" w:hAnsi="Times New Roman" w:cs="Times New Roman"/>
                <w:sz w:val="20"/>
                <w:szCs w:val="20"/>
                <w:lang w:eastAsia="ru-RU"/>
              </w:rPr>
              <w:t>( ф.</w:t>
            </w:r>
            <w:proofErr w:type="gramEnd"/>
            <w:r w:rsidRPr="00470DA8">
              <w:rPr>
                <w:rFonts w:ascii="Times New Roman" w:hAnsi="Times New Roman" w:cs="Times New Roman"/>
                <w:sz w:val="20"/>
                <w:szCs w:val="20"/>
                <w:lang w:eastAsia="ru-RU"/>
              </w:rPr>
              <w:t>0503110</w:t>
            </w:r>
            <w:r>
              <w:rPr>
                <w:rFonts w:ascii="Times New Roman" w:hAnsi="Times New Roman" w:cs="Times New Roman"/>
                <w:sz w:val="20"/>
                <w:szCs w:val="20"/>
                <w:lang w:eastAsia="ru-RU"/>
              </w:rPr>
              <w:t>)</w:t>
            </w:r>
          </w:p>
        </w:tc>
        <w:tc>
          <w:tcPr>
            <w:tcW w:w="2196" w:type="dxa"/>
          </w:tcPr>
          <w:p w:rsidR="00F40038" w:rsidRPr="00E0682B" w:rsidRDefault="00F40038" w:rsidP="00F40038">
            <w:pPr>
              <w:jc w:val="center"/>
              <w:rPr>
                <w:rFonts w:ascii="Times New Roman" w:hAnsi="Times New Roman" w:cs="Times New Roman"/>
                <w:sz w:val="20"/>
                <w:szCs w:val="20"/>
              </w:rPr>
            </w:pPr>
            <w:r>
              <w:rPr>
                <w:rFonts w:ascii="Times New Roman" w:hAnsi="Times New Roman" w:cs="Times New Roman"/>
                <w:sz w:val="20"/>
                <w:szCs w:val="20"/>
              </w:rPr>
              <w:t>7903,4</w:t>
            </w:r>
          </w:p>
        </w:tc>
        <w:tc>
          <w:tcPr>
            <w:tcW w:w="1273" w:type="dxa"/>
          </w:tcPr>
          <w:p w:rsidR="00F40038" w:rsidRPr="00E0682B" w:rsidRDefault="00203DC8" w:rsidP="00F40038">
            <w:pPr>
              <w:jc w:val="center"/>
              <w:rPr>
                <w:rFonts w:ascii="Times New Roman" w:hAnsi="Times New Roman" w:cs="Times New Roman"/>
                <w:sz w:val="20"/>
                <w:szCs w:val="20"/>
              </w:rPr>
            </w:pPr>
            <w:r>
              <w:rPr>
                <w:rFonts w:ascii="Times New Roman" w:hAnsi="Times New Roman" w:cs="Times New Roman"/>
                <w:sz w:val="20"/>
                <w:szCs w:val="20"/>
              </w:rPr>
              <w:t>7966,0</w:t>
            </w:r>
          </w:p>
        </w:tc>
        <w:tc>
          <w:tcPr>
            <w:tcW w:w="3119" w:type="dxa"/>
            <w:noWrap/>
          </w:tcPr>
          <w:p w:rsidR="00F40038" w:rsidRPr="00E0682B" w:rsidRDefault="00203DC8" w:rsidP="00F40038">
            <w:pPr>
              <w:jc w:val="center"/>
              <w:rPr>
                <w:rFonts w:ascii="Times New Roman" w:hAnsi="Times New Roman" w:cs="Times New Roman"/>
                <w:sz w:val="20"/>
                <w:szCs w:val="20"/>
              </w:rPr>
            </w:pPr>
            <w:r>
              <w:rPr>
                <w:rFonts w:ascii="Times New Roman" w:hAnsi="Times New Roman" w:cs="Times New Roman"/>
                <w:sz w:val="20"/>
                <w:szCs w:val="20"/>
              </w:rPr>
              <w:t>-62,6</w:t>
            </w:r>
          </w:p>
        </w:tc>
      </w:tr>
    </w:tbl>
    <w:p w:rsidR="00E759D8" w:rsidRDefault="00D27029" w:rsidP="001A55A9">
      <w:pPr>
        <w:spacing w:after="0" w:line="240" w:lineRule="auto"/>
        <w:ind w:firstLine="709"/>
        <w:contextualSpacing/>
        <w:jc w:val="both"/>
        <w:rPr>
          <w:rFonts w:ascii="Times New Roman" w:hAnsi="Times New Roman" w:cs="Times New Roman"/>
          <w:sz w:val="26"/>
          <w:szCs w:val="26"/>
          <w:lang w:eastAsia="ru-RU"/>
        </w:rPr>
      </w:pPr>
      <w:r w:rsidRPr="00BF277A">
        <w:rPr>
          <w:rFonts w:ascii="Times New Roman" w:hAnsi="Times New Roman" w:cs="Times New Roman"/>
          <w:sz w:val="26"/>
          <w:szCs w:val="26"/>
          <w:lang w:eastAsia="ru-RU"/>
        </w:rPr>
        <w:t xml:space="preserve">По данным проверки начисления доходов от сдачи имущества </w:t>
      </w:r>
      <w:r w:rsidR="00203DC8">
        <w:rPr>
          <w:rFonts w:ascii="Times New Roman" w:hAnsi="Times New Roman" w:cs="Times New Roman"/>
          <w:sz w:val="26"/>
          <w:szCs w:val="26"/>
          <w:lang w:eastAsia="ru-RU"/>
        </w:rPr>
        <w:t xml:space="preserve">в аренду должны составить </w:t>
      </w:r>
      <w:proofErr w:type="gramStart"/>
      <w:r w:rsidR="00203DC8">
        <w:rPr>
          <w:rFonts w:ascii="Times New Roman" w:hAnsi="Times New Roman" w:cs="Times New Roman"/>
          <w:sz w:val="26"/>
          <w:szCs w:val="26"/>
          <w:lang w:eastAsia="ru-RU"/>
        </w:rPr>
        <w:t>7966,0тыс.руб</w:t>
      </w:r>
      <w:proofErr w:type="gramEnd"/>
      <w:r w:rsidR="00203DC8">
        <w:rPr>
          <w:rFonts w:ascii="Times New Roman" w:hAnsi="Times New Roman" w:cs="Times New Roman"/>
          <w:sz w:val="26"/>
          <w:szCs w:val="26"/>
          <w:lang w:eastAsia="ru-RU"/>
        </w:rPr>
        <w:t>, что на 62,6</w:t>
      </w:r>
      <w:r w:rsidRPr="00BF277A">
        <w:rPr>
          <w:rFonts w:ascii="Times New Roman" w:hAnsi="Times New Roman" w:cs="Times New Roman"/>
          <w:sz w:val="26"/>
          <w:szCs w:val="26"/>
          <w:lang w:eastAsia="ru-RU"/>
        </w:rPr>
        <w:t>тыс.руб больше, чем по данным годовой отчётности</w:t>
      </w:r>
      <w:r>
        <w:rPr>
          <w:rFonts w:ascii="Times New Roman" w:hAnsi="Times New Roman" w:cs="Times New Roman"/>
          <w:sz w:val="26"/>
          <w:szCs w:val="26"/>
          <w:lang w:eastAsia="ru-RU"/>
        </w:rPr>
        <w:t>.</w:t>
      </w:r>
    </w:p>
    <w:p w:rsidR="00E759D8" w:rsidRPr="00E759D8" w:rsidRDefault="00E759D8" w:rsidP="001A55A9">
      <w:pPr>
        <w:contextualSpacing/>
        <w:jc w:val="right"/>
        <w:rPr>
          <w:rFonts w:ascii="Times New Roman" w:hAnsi="Times New Roman" w:cs="Times New Roman"/>
          <w:sz w:val="20"/>
          <w:szCs w:val="20"/>
          <w:lang w:eastAsia="ru-RU"/>
        </w:rPr>
      </w:pPr>
      <w:proofErr w:type="spellStart"/>
      <w:r>
        <w:rPr>
          <w:rFonts w:ascii="Times New Roman" w:hAnsi="Times New Roman" w:cs="Times New Roman"/>
          <w:sz w:val="20"/>
          <w:szCs w:val="20"/>
          <w:lang w:eastAsia="ru-RU"/>
        </w:rPr>
        <w:t>тыс.руб</w:t>
      </w:r>
      <w:proofErr w:type="spellEnd"/>
    </w:p>
    <w:tbl>
      <w:tblPr>
        <w:tblStyle w:val="a4"/>
        <w:tblW w:w="9351" w:type="dxa"/>
        <w:tblLook w:val="04A0" w:firstRow="1" w:lastRow="0" w:firstColumn="1" w:lastColumn="0" w:noHBand="0" w:noVBand="1"/>
      </w:tblPr>
      <w:tblGrid>
        <w:gridCol w:w="2763"/>
        <w:gridCol w:w="2196"/>
        <w:gridCol w:w="1273"/>
        <w:gridCol w:w="3119"/>
      </w:tblGrid>
      <w:tr w:rsidR="00D27029" w:rsidRPr="00E0682B" w:rsidTr="00D80BBD">
        <w:trPr>
          <w:trHeight w:val="470"/>
        </w:trPr>
        <w:tc>
          <w:tcPr>
            <w:tcW w:w="2763" w:type="dxa"/>
            <w:noWrap/>
            <w:hideMark/>
          </w:tcPr>
          <w:p w:rsidR="00D27029" w:rsidRPr="00E0682B" w:rsidRDefault="00D27029" w:rsidP="00014E92">
            <w:pPr>
              <w:contextualSpacing/>
              <w:jc w:val="center"/>
              <w:rPr>
                <w:rFonts w:ascii="Times New Roman" w:hAnsi="Times New Roman" w:cs="Times New Roman"/>
                <w:sz w:val="20"/>
                <w:szCs w:val="20"/>
              </w:rPr>
            </w:pPr>
            <w:r w:rsidRPr="00E0682B">
              <w:rPr>
                <w:rFonts w:ascii="Times New Roman" w:hAnsi="Times New Roman" w:cs="Times New Roman"/>
                <w:sz w:val="20"/>
                <w:szCs w:val="20"/>
              </w:rPr>
              <w:t>Форма годовой отчетности</w:t>
            </w:r>
          </w:p>
        </w:tc>
        <w:tc>
          <w:tcPr>
            <w:tcW w:w="2196" w:type="dxa"/>
            <w:noWrap/>
            <w:hideMark/>
          </w:tcPr>
          <w:p w:rsidR="00D27029" w:rsidRPr="00E0682B" w:rsidRDefault="00D27029" w:rsidP="00014E92">
            <w:pPr>
              <w:contextualSpacing/>
              <w:jc w:val="center"/>
              <w:rPr>
                <w:rFonts w:ascii="Times New Roman" w:hAnsi="Times New Roman" w:cs="Times New Roman"/>
                <w:sz w:val="20"/>
                <w:szCs w:val="20"/>
              </w:rPr>
            </w:pPr>
          </w:p>
          <w:p w:rsidR="00D27029" w:rsidRPr="00E0682B" w:rsidRDefault="00D27029" w:rsidP="00014E92">
            <w:pPr>
              <w:contextualSpacing/>
              <w:jc w:val="center"/>
              <w:rPr>
                <w:rFonts w:ascii="Times New Roman" w:hAnsi="Times New Roman" w:cs="Times New Roman"/>
                <w:sz w:val="20"/>
                <w:szCs w:val="20"/>
              </w:rPr>
            </w:pPr>
            <w:r w:rsidRPr="00E0682B">
              <w:rPr>
                <w:rFonts w:ascii="Times New Roman" w:hAnsi="Times New Roman" w:cs="Times New Roman"/>
                <w:sz w:val="20"/>
                <w:szCs w:val="20"/>
              </w:rPr>
              <w:t xml:space="preserve">по </w:t>
            </w:r>
            <w:r w:rsidR="00E759D8" w:rsidRPr="00E0682B">
              <w:rPr>
                <w:rFonts w:ascii="Times New Roman" w:hAnsi="Times New Roman" w:cs="Times New Roman"/>
                <w:sz w:val="20"/>
                <w:szCs w:val="20"/>
              </w:rPr>
              <w:t xml:space="preserve">данным </w:t>
            </w:r>
            <w:proofErr w:type="spellStart"/>
            <w:r w:rsidR="00E759D8" w:rsidRPr="00E0682B">
              <w:rPr>
                <w:rFonts w:ascii="Times New Roman" w:hAnsi="Times New Roman" w:cs="Times New Roman"/>
                <w:sz w:val="20"/>
                <w:szCs w:val="20"/>
              </w:rPr>
              <w:t>УМХиГ</w:t>
            </w:r>
            <w:proofErr w:type="spellEnd"/>
          </w:p>
        </w:tc>
        <w:tc>
          <w:tcPr>
            <w:tcW w:w="1273" w:type="dxa"/>
          </w:tcPr>
          <w:p w:rsidR="00D27029" w:rsidRPr="00E0682B" w:rsidRDefault="00D27029" w:rsidP="00014E92">
            <w:pPr>
              <w:contextualSpacing/>
              <w:jc w:val="center"/>
              <w:rPr>
                <w:rFonts w:ascii="Times New Roman" w:hAnsi="Times New Roman" w:cs="Times New Roman"/>
                <w:sz w:val="20"/>
                <w:szCs w:val="20"/>
              </w:rPr>
            </w:pPr>
            <w:r w:rsidRPr="00E0682B">
              <w:rPr>
                <w:rFonts w:ascii="Times New Roman" w:hAnsi="Times New Roman" w:cs="Times New Roman"/>
                <w:sz w:val="20"/>
                <w:szCs w:val="20"/>
              </w:rPr>
              <w:t>По данным проверки</w:t>
            </w:r>
          </w:p>
        </w:tc>
        <w:tc>
          <w:tcPr>
            <w:tcW w:w="3119" w:type="dxa"/>
          </w:tcPr>
          <w:p w:rsidR="00D27029" w:rsidRPr="00E0682B" w:rsidRDefault="00D27029" w:rsidP="00014E92">
            <w:pPr>
              <w:contextualSpacing/>
              <w:jc w:val="center"/>
              <w:rPr>
                <w:rFonts w:ascii="Times New Roman" w:hAnsi="Times New Roman" w:cs="Times New Roman"/>
                <w:sz w:val="20"/>
                <w:szCs w:val="20"/>
              </w:rPr>
            </w:pPr>
            <w:r w:rsidRPr="00E0682B">
              <w:rPr>
                <w:rFonts w:ascii="Times New Roman" w:hAnsi="Times New Roman" w:cs="Times New Roman"/>
                <w:sz w:val="20"/>
                <w:szCs w:val="20"/>
              </w:rPr>
              <w:t>Искажение</w:t>
            </w:r>
          </w:p>
        </w:tc>
      </w:tr>
      <w:tr w:rsidR="00F40038" w:rsidRPr="00E0682B" w:rsidTr="00F40038">
        <w:trPr>
          <w:trHeight w:val="20"/>
        </w:trPr>
        <w:tc>
          <w:tcPr>
            <w:tcW w:w="9351" w:type="dxa"/>
            <w:gridSpan w:val="4"/>
          </w:tcPr>
          <w:p w:rsidR="00F40038" w:rsidRPr="00E0682B" w:rsidRDefault="00F40038" w:rsidP="00667338">
            <w:pPr>
              <w:jc w:val="center"/>
              <w:rPr>
                <w:rFonts w:ascii="Times New Roman" w:hAnsi="Times New Roman" w:cs="Times New Roman"/>
                <w:sz w:val="20"/>
                <w:szCs w:val="20"/>
              </w:rPr>
            </w:pPr>
            <w:r>
              <w:rPr>
                <w:rFonts w:ascii="Times New Roman" w:hAnsi="Times New Roman" w:cs="Times New Roman"/>
                <w:sz w:val="20"/>
                <w:szCs w:val="20"/>
              </w:rPr>
              <w:t>столбец 5,8</w:t>
            </w:r>
            <w:r w:rsidRPr="00E0682B">
              <w:rPr>
                <w:rFonts w:ascii="Times New Roman" w:hAnsi="Times New Roman" w:cs="Times New Roman"/>
                <w:sz w:val="20"/>
                <w:szCs w:val="20"/>
              </w:rPr>
              <w:t xml:space="preserve"> КБК</w:t>
            </w:r>
            <w:r>
              <w:rPr>
                <w:rFonts w:ascii="Times New Roman" w:hAnsi="Times New Roman" w:cs="Times New Roman"/>
                <w:sz w:val="20"/>
                <w:szCs w:val="20"/>
              </w:rPr>
              <w:t xml:space="preserve"> 111507404000120</w:t>
            </w:r>
          </w:p>
        </w:tc>
      </w:tr>
      <w:tr w:rsidR="00F40038" w:rsidRPr="00E0682B" w:rsidTr="00D27029">
        <w:trPr>
          <w:trHeight w:val="20"/>
        </w:trPr>
        <w:tc>
          <w:tcPr>
            <w:tcW w:w="2763" w:type="dxa"/>
          </w:tcPr>
          <w:p w:rsidR="00F40038" w:rsidRPr="00E0682B" w:rsidRDefault="00F40038" w:rsidP="00F40038">
            <w:pPr>
              <w:jc w:val="center"/>
              <w:rPr>
                <w:rFonts w:ascii="Times New Roman" w:hAnsi="Times New Roman" w:cs="Times New Roman"/>
                <w:sz w:val="20"/>
                <w:szCs w:val="20"/>
              </w:rPr>
            </w:pPr>
            <w:r>
              <w:rPr>
                <w:rFonts w:ascii="Times New Roman" w:hAnsi="Times New Roman" w:cs="Times New Roman"/>
                <w:sz w:val="20"/>
                <w:szCs w:val="20"/>
              </w:rPr>
              <w:t>Отчет</w:t>
            </w:r>
            <w:r w:rsidRPr="00365EFE">
              <w:rPr>
                <w:rFonts w:ascii="Times New Roman" w:hAnsi="Times New Roman" w:cs="Times New Roman"/>
                <w:sz w:val="20"/>
                <w:szCs w:val="20"/>
              </w:rPr>
              <w:t xml:space="preserve"> об исполнении бюджета (ф. 0503127) К</w:t>
            </w:r>
            <w:r>
              <w:rPr>
                <w:rFonts w:ascii="Times New Roman" w:hAnsi="Times New Roman" w:cs="Times New Roman"/>
                <w:sz w:val="20"/>
                <w:szCs w:val="20"/>
              </w:rPr>
              <w:t xml:space="preserve">БК 9101110507404000120 </w:t>
            </w:r>
          </w:p>
        </w:tc>
        <w:tc>
          <w:tcPr>
            <w:tcW w:w="2196" w:type="dxa"/>
          </w:tcPr>
          <w:p w:rsidR="00F40038" w:rsidRPr="00E0682B" w:rsidRDefault="00F40038" w:rsidP="00F40038">
            <w:pPr>
              <w:jc w:val="center"/>
              <w:rPr>
                <w:rFonts w:ascii="Times New Roman" w:hAnsi="Times New Roman" w:cs="Times New Roman"/>
                <w:sz w:val="20"/>
                <w:szCs w:val="20"/>
              </w:rPr>
            </w:pPr>
            <w:r>
              <w:rPr>
                <w:rFonts w:ascii="Times New Roman" w:hAnsi="Times New Roman" w:cs="Times New Roman"/>
                <w:sz w:val="20"/>
                <w:szCs w:val="20"/>
              </w:rPr>
              <w:t>7811,8</w:t>
            </w:r>
          </w:p>
        </w:tc>
        <w:tc>
          <w:tcPr>
            <w:tcW w:w="1273" w:type="dxa"/>
          </w:tcPr>
          <w:p w:rsidR="00F40038" w:rsidRPr="00E0682B" w:rsidRDefault="00F40038" w:rsidP="00F40038">
            <w:pPr>
              <w:jc w:val="center"/>
              <w:rPr>
                <w:rFonts w:ascii="Times New Roman" w:hAnsi="Times New Roman" w:cs="Times New Roman"/>
                <w:sz w:val="20"/>
                <w:szCs w:val="20"/>
              </w:rPr>
            </w:pPr>
            <w:r>
              <w:rPr>
                <w:rFonts w:ascii="Times New Roman" w:hAnsi="Times New Roman" w:cs="Times New Roman"/>
                <w:sz w:val="20"/>
                <w:szCs w:val="20"/>
              </w:rPr>
              <w:t>7808,8</w:t>
            </w:r>
          </w:p>
        </w:tc>
        <w:tc>
          <w:tcPr>
            <w:tcW w:w="3119" w:type="dxa"/>
            <w:noWrap/>
          </w:tcPr>
          <w:p w:rsidR="00F40038" w:rsidRPr="00E0682B" w:rsidRDefault="00F40038" w:rsidP="00F40038">
            <w:pPr>
              <w:jc w:val="center"/>
              <w:rPr>
                <w:rFonts w:ascii="Times New Roman" w:hAnsi="Times New Roman" w:cs="Times New Roman"/>
                <w:sz w:val="20"/>
                <w:szCs w:val="20"/>
              </w:rPr>
            </w:pPr>
            <w:r>
              <w:rPr>
                <w:rFonts w:ascii="Times New Roman" w:hAnsi="Times New Roman" w:cs="Times New Roman"/>
                <w:sz w:val="20"/>
                <w:szCs w:val="20"/>
              </w:rPr>
              <w:t>3,0</w:t>
            </w:r>
          </w:p>
        </w:tc>
      </w:tr>
    </w:tbl>
    <w:p w:rsidR="00D27029" w:rsidRDefault="00D27029" w:rsidP="001A55A9">
      <w:pPr>
        <w:spacing w:after="0" w:line="240" w:lineRule="auto"/>
        <w:ind w:firstLine="709"/>
        <w:jc w:val="both"/>
        <w:rPr>
          <w:rFonts w:ascii="Times New Roman" w:hAnsi="Times New Roman" w:cs="Times New Roman"/>
          <w:sz w:val="26"/>
          <w:szCs w:val="26"/>
          <w:lang w:eastAsia="ru-RU"/>
        </w:rPr>
      </w:pPr>
      <w:r w:rsidRPr="00BF277A">
        <w:rPr>
          <w:rFonts w:ascii="Times New Roman" w:hAnsi="Times New Roman" w:cs="Times New Roman"/>
          <w:sz w:val="26"/>
          <w:szCs w:val="26"/>
          <w:lang w:eastAsia="ru-RU"/>
        </w:rPr>
        <w:t xml:space="preserve">Поступление (по КБК 910 11105074040000120) по данным годовой отчетности и данным бюджетного учета составляют 7811,8тыс.руб, по данным проверки 7808,8тыс.руб. Искажение  показателей Отчета об исполнении бюджета (ф. 0503127) по поступлению доходов по КБК 9101110507404000120 составило 3,0тыс.руб В доходы от передачи в аренду имущества городского округа ошибочно включены поступления по КБК 910 11105012040000120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 п/п №553336 от 12.02.2021 от </w:t>
      </w:r>
      <w:proofErr w:type="spellStart"/>
      <w:r w:rsidRPr="00BF277A">
        <w:rPr>
          <w:rFonts w:ascii="Times New Roman" w:hAnsi="Times New Roman" w:cs="Times New Roman"/>
          <w:sz w:val="26"/>
          <w:szCs w:val="26"/>
          <w:lang w:eastAsia="ru-RU"/>
        </w:rPr>
        <w:t>М</w:t>
      </w:r>
      <w:r w:rsidR="009872DD">
        <w:rPr>
          <w:rFonts w:ascii="Times New Roman" w:hAnsi="Times New Roman" w:cs="Times New Roman"/>
          <w:sz w:val="26"/>
          <w:szCs w:val="26"/>
          <w:lang w:eastAsia="ru-RU"/>
        </w:rPr>
        <w:t>а</w:t>
      </w:r>
      <w:r w:rsidRPr="00BF277A">
        <w:rPr>
          <w:rFonts w:ascii="Times New Roman" w:hAnsi="Times New Roman" w:cs="Times New Roman"/>
          <w:sz w:val="26"/>
          <w:szCs w:val="26"/>
          <w:lang w:eastAsia="ru-RU"/>
        </w:rPr>
        <w:t>йсурадзе</w:t>
      </w:r>
      <w:proofErr w:type="spellEnd"/>
      <w:r w:rsidRPr="00BF277A">
        <w:rPr>
          <w:rFonts w:ascii="Times New Roman" w:hAnsi="Times New Roman" w:cs="Times New Roman"/>
          <w:sz w:val="26"/>
          <w:szCs w:val="26"/>
          <w:lang w:eastAsia="ru-RU"/>
        </w:rPr>
        <w:t xml:space="preserve"> Э.Г. в сумме 2911,3руб, п/п №566992 от 11.02.2021 от Сысоева Ф.И. в сумме 107,0руб, п/п №342592 от 14.07.2021 в сумме </w:t>
      </w:r>
      <w:r w:rsidR="00F27645">
        <w:rPr>
          <w:rFonts w:ascii="Times New Roman" w:hAnsi="Times New Roman" w:cs="Times New Roman"/>
          <w:sz w:val="26"/>
          <w:szCs w:val="26"/>
          <w:lang w:eastAsia="ru-RU"/>
        </w:rPr>
        <w:t>60,26руб от Соловьева Р.Э).</w:t>
      </w:r>
    </w:p>
    <w:p w:rsidR="00014E92" w:rsidRDefault="00351F34"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В нарушении п.145 Инструкции </w:t>
      </w:r>
      <w:r w:rsidR="00ED23A0">
        <w:rPr>
          <w:rFonts w:ascii="Times New Roman" w:hAnsi="Times New Roman" w:cs="Times New Roman"/>
          <w:sz w:val="26"/>
          <w:szCs w:val="26"/>
          <w:lang w:eastAsia="ru-RU"/>
        </w:rPr>
        <w:t>№157н и</w:t>
      </w:r>
      <w:r w:rsidR="00014E92" w:rsidRPr="00014E92">
        <w:rPr>
          <w:rFonts w:ascii="Times New Roman" w:hAnsi="Times New Roman" w:cs="Times New Roman"/>
          <w:sz w:val="26"/>
          <w:szCs w:val="26"/>
          <w:lang w:eastAsia="ru-RU"/>
        </w:rPr>
        <w:t xml:space="preserve">меет место несоответствие данных бюджетного учета и реестра муниципального имущества. Общая стоимость </w:t>
      </w:r>
      <w:r w:rsidR="00014E92" w:rsidRPr="00014E92">
        <w:rPr>
          <w:rFonts w:ascii="Times New Roman" w:hAnsi="Times New Roman" w:cs="Times New Roman"/>
          <w:sz w:val="26"/>
          <w:szCs w:val="26"/>
          <w:lang w:eastAsia="ru-RU"/>
        </w:rPr>
        <w:lastRenderedPageBreak/>
        <w:t>имущества казны, согласно данным бухгалтерского отчета на 01.01.2021г. составила 315 942 849,44руб, на 01.01.2022г.  - 349 158 559,02руб. По данным Реестра в электронном виде на 31.12.2021 стоимость имущества казны составляет 367 855 649,25руб. Отклонение с данными бюджетного учета составило 18 697 090,23руб. Причиной отклонения является учет в Реестре имущества фактически выбывшего в течение года. Например, в Реестре на 31.12.2021 числится «казарма» балансовой стоимостью 14 431 085,92руб, отчужденная (проданная) в течение 2021года.</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В нарушении п. 145 Инструкции № 157н и п. 3.122 Положения №39 бюджетный учет имущества ведется администрацией городского округа Архангельской области «Город Коряжма». Следовательно, учет имущества казны осуществляется не держателем реестра муниципального имущества.</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В нарушении ст.11 Закона №402-ФЗ не проводилась инвентаризация имущества казны.</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 xml:space="preserve">В нарушении п.381 Инструкции 157н информация об объектах учета операционной аренды, в части предоставленных прав пользования имуществом, переданным учреждением в возмездное пользование (по договору аренды), в целях обеспечения надлежащего контроля за его сохранностью, целевым использованием и движением не отражается на </w:t>
      </w:r>
      <w:proofErr w:type="spellStart"/>
      <w:r w:rsidRPr="00014E92">
        <w:rPr>
          <w:rFonts w:ascii="Times New Roman" w:hAnsi="Times New Roman" w:cs="Times New Roman"/>
          <w:sz w:val="26"/>
          <w:szCs w:val="26"/>
          <w:lang w:eastAsia="ru-RU"/>
        </w:rPr>
        <w:t>забалансовом</w:t>
      </w:r>
      <w:proofErr w:type="spellEnd"/>
      <w:r w:rsidRPr="00014E92">
        <w:rPr>
          <w:rFonts w:ascii="Times New Roman" w:hAnsi="Times New Roman" w:cs="Times New Roman"/>
          <w:sz w:val="26"/>
          <w:szCs w:val="26"/>
          <w:lang w:eastAsia="ru-RU"/>
        </w:rPr>
        <w:t xml:space="preserve"> счете 25. По данным проверки стоимость фактически переданного имущества в аренду на </w:t>
      </w:r>
      <w:proofErr w:type="spellStart"/>
      <w:r w:rsidRPr="00014E92">
        <w:rPr>
          <w:rFonts w:ascii="Times New Roman" w:hAnsi="Times New Roman" w:cs="Times New Roman"/>
          <w:sz w:val="26"/>
          <w:szCs w:val="26"/>
          <w:lang w:eastAsia="ru-RU"/>
        </w:rPr>
        <w:t>забалансовом</w:t>
      </w:r>
      <w:proofErr w:type="spellEnd"/>
      <w:r w:rsidRPr="00014E92">
        <w:rPr>
          <w:rFonts w:ascii="Times New Roman" w:hAnsi="Times New Roman" w:cs="Times New Roman"/>
          <w:sz w:val="26"/>
          <w:szCs w:val="26"/>
          <w:lang w:eastAsia="ru-RU"/>
        </w:rPr>
        <w:t xml:space="preserve"> счете 25 на 01.01.2022 должна составлять 31 790 549,61руб. (без учета световых опор).</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Бюджетный учет операций с объектами нефинансовых активов имущества муниципальной казны осуществляется на основании Порядка, не соответствующего положениям нормативных документов.</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 xml:space="preserve">Имеет место занижение арендных платежей из-за неправильного определения арендуемых площадей по арендатору ГУ «Управление Пенсионного фонда РФ в г. Коряжме Архангельской области», ГУП АО «Фармация», что приводит к </w:t>
      </w:r>
      <w:proofErr w:type="spellStart"/>
      <w:r w:rsidRPr="00014E92">
        <w:rPr>
          <w:rFonts w:ascii="Times New Roman" w:hAnsi="Times New Roman" w:cs="Times New Roman"/>
          <w:sz w:val="26"/>
          <w:szCs w:val="26"/>
          <w:lang w:eastAsia="ru-RU"/>
        </w:rPr>
        <w:t>недопоступлению</w:t>
      </w:r>
      <w:proofErr w:type="spellEnd"/>
      <w:r w:rsidRPr="00014E92">
        <w:rPr>
          <w:rFonts w:ascii="Times New Roman" w:hAnsi="Times New Roman" w:cs="Times New Roman"/>
          <w:sz w:val="26"/>
          <w:szCs w:val="26"/>
          <w:lang w:eastAsia="ru-RU"/>
        </w:rPr>
        <w:t xml:space="preserve"> в доход бюджета в сумме 28409,12руб в год. </w:t>
      </w:r>
    </w:p>
    <w:p w:rsidR="00014E92" w:rsidRP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 xml:space="preserve">В нарушении ст.55 </w:t>
      </w:r>
      <w:proofErr w:type="spellStart"/>
      <w:r w:rsidRPr="00014E92">
        <w:rPr>
          <w:rFonts w:ascii="Times New Roman" w:hAnsi="Times New Roman" w:cs="Times New Roman"/>
          <w:sz w:val="26"/>
          <w:szCs w:val="26"/>
          <w:lang w:eastAsia="ru-RU"/>
        </w:rPr>
        <w:t>ГрК</w:t>
      </w:r>
      <w:proofErr w:type="spellEnd"/>
      <w:r w:rsidRPr="00014E92">
        <w:rPr>
          <w:rFonts w:ascii="Times New Roman" w:hAnsi="Times New Roman" w:cs="Times New Roman"/>
          <w:sz w:val="26"/>
          <w:szCs w:val="26"/>
          <w:lang w:eastAsia="ru-RU"/>
        </w:rPr>
        <w:t xml:space="preserve"> РФ </w:t>
      </w:r>
      <w:proofErr w:type="spellStart"/>
      <w:r w:rsidRPr="00014E92">
        <w:rPr>
          <w:rFonts w:ascii="Times New Roman" w:hAnsi="Times New Roman" w:cs="Times New Roman"/>
          <w:sz w:val="26"/>
          <w:szCs w:val="26"/>
          <w:lang w:eastAsia="ru-RU"/>
        </w:rPr>
        <w:t>УМХиГ</w:t>
      </w:r>
      <w:proofErr w:type="spellEnd"/>
      <w:r w:rsidRPr="00014E92">
        <w:rPr>
          <w:rFonts w:ascii="Times New Roman" w:hAnsi="Times New Roman" w:cs="Times New Roman"/>
          <w:sz w:val="26"/>
          <w:szCs w:val="26"/>
          <w:lang w:eastAsia="ru-RU"/>
        </w:rPr>
        <w:t xml:space="preserve"> передает в аренду объекты капитального строительства (газопровод по ул. Восточная-Архангельская протяженностью 1,126км, газораспределительная сеть низкого давления по ул. Куйбышева в микрорайоне Заречье протяженностью 0,9560км) без разрешения на ввод в эксплуатацию. Газопроводы учтены на счете 106.21 «Вложения в основные средства - недвижимое имущество» (более 10лет)</w:t>
      </w:r>
      <w:r w:rsidRPr="00014E92">
        <w:t xml:space="preserve"> </w:t>
      </w:r>
      <w:r w:rsidRPr="00014E92">
        <w:rPr>
          <w:rFonts w:ascii="Times New Roman" w:hAnsi="Times New Roman" w:cs="Times New Roman"/>
          <w:sz w:val="26"/>
          <w:szCs w:val="26"/>
          <w:lang w:eastAsia="ru-RU"/>
        </w:rPr>
        <w:t>без указания протяжённости, а не составляют имущество муниципальной казны</w:t>
      </w:r>
      <w:r>
        <w:rPr>
          <w:rFonts w:ascii="Times New Roman" w:hAnsi="Times New Roman" w:cs="Times New Roman"/>
          <w:sz w:val="26"/>
          <w:szCs w:val="26"/>
          <w:lang w:eastAsia="ru-RU"/>
        </w:rPr>
        <w:t>.</w:t>
      </w:r>
      <w:r w:rsidRPr="00014E92">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В</w:t>
      </w:r>
      <w:r w:rsidRPr="00014E92">
        <w:rPr>
          <w:rFonts w:ascii="Times New Roman" w:hAnsi="Times New Roman" w:cs="Times New Roman"/>
          <w:sz w:val="26"/>
          <w:szCs w:val="26"/>
          <w:lang w:eastAsia="ru-RU"/>
        </w:rPr>
        <w:t>ызывает сомнение протяжённость вышеуказанных газопроводов, а значит и правильнос</w:t>
      </w:r>
      <w:r w:rsidR="001A55A9">
        <w:rPr>
          <w:rFonts w:ascii="Times New Roman" w:hAnsi="Times New Roman" w:cs="Times New Roman"/>
          <w:sz w:val="26"/>
          <w:szCs w:val="26"/>
          <w:lang w:eastAsia="ru-RU"/>
        </w:rPr>
        <w:t xml:space="preserve">ть определения арендной платы. </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В составе имущества казны отражены кварталы уличного освещения, их протяженность и балансовая стоимость, при этом количество световых опор в том или ином квартале не обозначено. Следовательно, проверить количество сдаваемых объектов, а значит, и определить правильность определения арендных платежей по договорам аренды световых опор с ООО «</w:t>
      </w:r>
      <w:proofErr w:type="spellStart"/>
      <w:r w:rsidRPr="00014E92">
        <w:rPr>
          <w:rFonts w:ascii="Times New Roman" w:hAnsi="Times New Roman" w:cs="Times New Roman"/>
          <w:sz w:val="26"/>
          <w:szCs w:val="26"/>
          <w:lang w:eastAsia="ru-RU"/>
        </w:rPr>
        <w:t>Коряжемское</w:t>
      </w:r>
      <w:proofErr w:type="spellEnd"/>
      <w:r w:rsidRPr="00014E92">
        <w:rPr>
          <w:rFonts w:ascii="Times New Roman" w:hAnsi="Times New Roman" w:cs="Times New Roman"/>
          <w:sz w:val="26"/>
          <w:szCs w:val="26"/>
          <w:lang w:eastAsia="ru-RU"/>
        </w:rPr>
        <w:t xml:space="preserve"> телевидение», ПАО «МегаФон», ПАО «Мобильные Теле Системы» невозможно.</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Договорные отношения продлеваются на неопределённый срок без заключения новых договоров.</w:t>
      </w:r>
      <w:r>
        <w:rPr>
          <w:rFonts w:ascii="Times New Roman" w:hAnsi="Times New Roman" w:cs="Times New Roman"/>
          <w:sz w:val="26"/>
          <w:szCs w:val="26"/>
          <w:lang w:eastAsia="ru-RU"/>
        </w:rPr>
        <w:t xml:space="preserve"> </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 xml:space="preserve"> В нарушении п.14 ч.1 ст.17.1 Закона №135-ФЗ о защите конкуренции имущество предоставляется в аренду Шараповой Е.В., Бойков А.В. без проведения торгов и заключения договора.  </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lastRenderedPageBreak/>
        <w:t xml:space="preserve">В нарушении ч.10 ст.17.1 Закона №135-ФЗ о защите конкуренции </w:t>
      </w:r>
      <w:proofErr w:type="spellStart"/>
      <w:r w:rsidRPr="00014E92">
        <w:rPr>
          <w:rFonts w:ascii="Times New Roman" w:hAnsi="Times New Roman" w:cs="Times New Roman"/>
          <w:sz w:val="26"/>
          <w:szCs w:val="26"/>
          <w:lang w:eastAsia="ru-RU"/>
        </w:rPr>
        <w:t>УМХиГ</w:t>
      </w:r>
      <w:proofErr w:type="spellEnd"/>
      <w:r w:rsidRPr="00014E92">
        <w:rPr>
          <w:rFonts w:ascii="Times New Roman" w:hAnsi="Times New Roman" w:cs="Times New Roman"/>
          <w:sz w:val="26"/>
          <w:szCs w:val="26"/>
          <w:lang w:eastAsia="ru-RU"/>
        </w:rPr>
        <w:t xml:space="preserve"> перезаключало договоры без проведения конкурса, аукциона с арендаторами, исполнявшим свои обязанности не надлежащим образом, а именно при наличии задолженности по арендным платежам. </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В нарушении ч.9 ст.17.1 Закона №135-ФЗ о защите конкуренции при перезаключении договора с ИП Кузнецовым Е.М. от 08.06.2021 №36-А (на период с 04.06.2021 по 04.08.2021) размер арендной платы определялся расчетным путем, а не по результатам оценки рыночной стоимости объекта.</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 xml:space="preserve">Имеет место неправильное начисление арендных платежей, что привело к </w:t>
      </w:r>
      <w:proofErr w:type="spellStart"/>
      <w:r w:rsidRPr="00014E92">
        <w:rPr>
          <w:rFonts w:ascii="Times New Roman" w:hAnsi="Times New Roman" w:cs="Times New Roman"/>
          <w:sz w:val="26"/>
          <w:szCs w:val="26"/>
          <w:lang w:eastAsia="ru-RU"/>
        </w:rPr>
        <w:t>недопоступлению</w:t>
      </w:r>
      <w:proofErr w:type="spellEnd"/>
      <w:r w:rsidRPr="00014E92">
        <w:rPr>
          <w:rFonts w:ascii="Times New Roman" w:hAnsi="Times New Roman" w:cs="Times New Roman"/>
          <w:sz w:val="26"/>
          <w:szCs w:val="26"/>
          <w:lang w:eastAsia="ru-RU"/>
        </w:rPr>
        <w:t xml:space="preserve"> доходов в бюджет го</w:t>
      </w:r>
      <w:r w:rsidR="00C502DE">
        <w:rPr>
          <w:rFonts w:ascii="Times New Roman" w:hAnsi="Times New Roman" w:cs="Times New Roman"/>
          <w:sz w:val="26"/>
          <w:szCs w:val="26"/>
          <w:lang w:eastAsia="ru-RU"/>
        </w:rPr>
        <w:t>родского округа в сумме 46098,98</w:t>
      </w:r>
      <w:r w:rsidRPr="00014E92">
        <w:rPr>
          <w:rFonts w:ascii="Times New Roman" w:hAnsi="Times New Roman" w:cs="Times New Roman"/>
          <w:sz w:val="26"/>
          <w:szCs w:val="26"/>
          <w:lang w:eastAsia="ru-RU"/>
        </w:rPr>
        <w:t>руб.</w:t>
      </w:r>
    </w:p>
    <w:p w:rsidR="00014E92"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014E92">
        <w:rPr>
          <w:rFonts w:ascii="Times New Roman" w:hAnsi="Times New Roman" w:cs="Times New Roman"/>
          <w:sz w:val="26"/>
          <w:szCs w:val="26"/>
          <w:lang w:eastAsia="ru-RU"/>
        </w:rPr>
        <w:t xml:space="preserve">В нарушении ст.11 Закона №402-ФЗ, п.79 Приказа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w:t>
      </w:r>
      <w:proofErr w:type="spellStart"/>
      <w:r w:rsidRPr="00014E92">
        <w:rPr>
          <w:rFonts w:ascii="Times New Roman" w:hAnsi="Times New Roman" w:cs="Times New Roman"/>
          <w:sz w:val="26"/>
          <w:szCs w:val="26"/>
          <w:lang w:eastAsia="ru-RU"/>
        </w:rPr>
        <w:t>УМХиГ</w:t>
      </w:r>
      <w:proofErr w:type="spellEnd"/>
      <w:r w:rsidRPr="00014E92">
        <w:rPr>
          <w:rFonts w:ascii="Times New Roman" w:hAnsi="Times New Roman" w:cs="Times New Roman"/>
          <w:sz w:val="26"/>
          <w:szCs w:val="26"/>
          <w:lang w:eastAsia="ru-RU"/>
        </w:rPr>
        <w:t xml:space="preserve"> не проводится инвентаризация обязательств по </w:t>
      </w:r>
      <w:proofErr w:type="spellStart"/>
      <w:r w:rsidRPr="00014E92">
        <w:rPr>
          <w:rFonts w:ascii="Times New Roman" w:hAnsi="Times New Roman" w:cs="Times New Roman"/>
          <w:sz w:val="26"/>
          <w:szCs w:val="26"/>
          <w:lang w:eastAsia="ru-RU"/>
        </w:rPr>
        <w:t>сч</w:t>
      </w:r>
      <w:proofErr w:type="spellEnd"/>
      <w:r w:rsidRPr="00014E92">
        <w:rPr>
          <w:rFonts w:ascii="Times New Roman" w:hAnsi="Times New Roman" w:cs="Times New Roman"/>
          <w:sz w:val="26"/>
          <w:szCs w:val="26"/>
          <w:lang w:eastAsia="ru-RU"/>
        </w:rPr>
        <w:t xml:space="preserve">. 205 «Расчеты по доходам». </w:t>
      </w:r>
    </w:p>
    <w:p w:rsidR="00E0152C"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E0152C">
        <w:rPr>
          <w:rFonts w:ascii="Times New Roman" w:hAnsi="Times New Roman" w:cs="Times New Roman"/>
          <w:sz w:val="26"/>
          <w:szCs w:val="26"/>
          <w:lang w:eastAsia="ru-RU"/>
        </w:rPr>
        <w:t>В нарушении п. 2.6 Положения №471р претензия выставляется позднее 10 рабочих дней с момента образования дебиторской задолженности. В нарушении п.2.5.Положения №471р в предупреждение отсутствует расчет суммы требований и номер счета, на который должны быть перечислены денежные средства. Не выставляются требование о сумме пеней за дни просрочки выполнения обязательств по оплате арендной плате.</w:t>
      </w:r>
      <w:bookmarkStart w:id="0" w:name="_GoBack"/>
      <w:bookmarkEnd w:id="0"/>
    </w:p>
    <w:p w:rsidR="00E0152C"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E0152C">
        <w:rPr>
          <w:rFonts w:ascii="Times New Roman" w:hAnsi="Times New Roman" w:cs="Times New Roman"/>
          <w:sz w:val="26"/>
          <w:szCs w:val="26"/>
          <w:lang w:eastAsia="ru-RU"/>
        </w:rPr>
        <w:t xml:space="preserve">В нарушении п.3.1 Положения №471р специалистами </w:t>
      </w:r>
      <w:proofErr w:type="spellStart"/>
      <w:r w:rsidRPr="00E0152C">
        <w:rPr>
          <w:rFonts w:ascii="Times New Roman" w:hAnsi="Times New Roman" w:cs="Times New Roman"/>
          <w:sz w:val="26"/>
          <w:szCs w:val="26"/>
          <w:lang w:eastAsia="ru-RU"/>
        </w:rPr>
        <w:t>УМХиГ</w:t>
      </w:r>
      <w:proofErr w:type="spellEnd"/>
      <w:r w:rsidRPr="00E0152C">
        <w:rPr>
          <w:rFonts w:ascii="Times New Roman" w:hAnsi="Times New Roman" w:cs="Times New Roman"/>
          <w:sz w:val="26"/>
          <w:szCs w:val="26"/>
          <w:lang w:eastAsia="ru-RU"/>
        </w:rPr>
        <w:t xml:space="preserve"> не предъявляют к взысканию в судебном порядке задолженности. </w:t>
      </w:r>
    </w:p>
    <w:p w:rsidR="00014E92" w:rsidRPr="00E0152C" w:rsidRDefault="00014E92" w:rsidP="001A55A9">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E0152C">
        <w:rPr>
          <w:rFonts w:ascii="Times New Roman" w:hAnsi="Times New Roman" w:cs="Times New Roman"/>
          <w:sz w:val="26"/>
          <w:szCs w:val="26"/>
          <w:lang w:eastAsia="ru-RU"/>
        </w:rPr>
        <w:t xml:space="preserve">Работу </w:t>
      </w:r>
      <w:proofErr w:type="spellStart"/>
      <w:r w:rsidRPr="00E0152C">
        <w:rPr>
          <w:rFonts w:ascii="Times New Roman" w:hAnsi="Times New Roman" w:cs="Times New Roman"/>
          <w:sz w:val="26"/>
          <w:szCs w:val="26"/>
          <w:lang w:eastAsia="ru-RU"/>
        </w:rPr>
        <w:t>УМХиГ</w:t>
      </w:r>
      <w:proofErr w:type="spellEnd"/>
      <w:r w:rsidRPr="00E0152C">
        <w:rPr>
          <w:rFonts w:ascii="Times New Roman" w:hAnsi="Times New Roman" w:cs="Times New Roman"/>
          <w:sz w:val="26"/>
          <w:szCs w:val="26"/>
          <w:lang w:eastAsia="ru-RU"/>
        </w:rPr>
        <w:t xml:space="preserve"> по проведению комплекса первоочередных мероприятий по взысканию дебиторской задолженности нельзя признать достаточно эффективной. Учитывая негативные тенденции по постоянному увеличению объёма задолженности арендаторов перед бюджетом, несвоевременное проведение претензионной работы с должниками и работы по взысканию задолженности по арендной плате проверкой установлен рост дебиторской задолженности, неэффективное использование объектов муниципального имущества, переданного в возмездное пользование (аренду), а также </w:t>
      </w:r>
      <w:proofErr w:type="spellStart"/>
      <w:r w:rsidRPr="00E0152C">
        <w:rPr>
          <w:rFonts w:ascii="Times New Roman" w:hAnsi="Times New Roman" w:cs="Times New Roman"/>
          <w:sz w:val="26"/>
          <w:szCs w:val="26"/>
          <w:lang w:eastAsia="ru-RU"/>
        </w:rPr>
        <w:t>недопоступление</w:t>
      </w:r>
      <w:proofErr w:type="spellEnd"/>
      <w:r w:rsidRPr="00E0152C">
        <w:rPr>
          <w:rFonts w:ascii="Times New Roman" w:hAnsi="Times New Roman" w:cs="Times New Roman"/>
          <w:sz w:val="26"/>
          <w:szCs w:val="26"/>
          <w:lang w:eastAsia="ru-RU"/>
        </w:rPr>
        <w:t xml:space="preserve"> в доход бюджета города денежных средств в сумме 1510,5 тыс. р</w:t>
      </w:r>
      <w:r w:rsidR="00C502DE">
        <w:rPr>
          <w:rFonts w:ascii="Times New Roman" w:hAnsi="Times New Roman" w:cs="Times New Roman"/>
          <w:sz w:val="26"/>
          <w:szCs w:val="26"/>
          <w:lang w:eastAsia="ru-RU"/>
        </w:rPr>
        <w:t>ублей (по данным проверки 1356,6</w:t>
      </w:r>
      <w:r w:rsidRPr="00E0152C">
        <w:rPr>
          <w:rFonts w:ascii="Times New Roman" w:hAnsi="Times New Roman" w:cs="Times New Roman"/>
          <w:sz w:val="26"/>
          <w:szCs w:val="26"/>
          <w:lang w:eastAsia="ru-RU"/>
        </w:rPr>
        <w:t xml:space="preserve"> тыс. руб.).</w:t>
      </w:r>
    </w:p>
    <w:p w:rsidR="00F40038" w:rsidRDefault="00F40038" w:rsidP="001A55A9">
      <w:pPr>
        <w:spacing w:after="0"/>
        <w:ind w:firstLine="709"/>
        <w:rPr>
          <w:rFonts w:ascii="Times New Roman" w:hAnsi="Times New Roman" w:cs="Times New Roman"/>
          <w:sz w:val="20"/>
          <w:szCs w:val="20"/>
        </w:rPr>
      </w:pPr>
    </w:p>
    <w:p w:rsidR="009C0069" w:rsidRPr="009C0069" w:rsidRDefault="009C0069" w:rsidP="001A55A9">
      <w:pPr>
        <w:spacing w:after="0"/>
        <w:ind w:firstLine="709"/>
        <w:jc w:val="both"/>
        <w:rPr>
          <w:rFonts w:ascii="Times New Roman" w:hAnsi="Times New Roman" w:cs="Times New Roman"/>
          <w:sz w:val="26"/>
          <w:szCs w:val="26"/>
          <w:lang w:eastAsia="ru-RU"/>
        </w:rPr>
      </w:pPr>
      <w:r w:rsidRPr="009C0069">
        <w:rPr>
          <w:rFonts w:ascii="Times New Roman" w:hAnsi="Times New Roman" w:cs="Times New Roman"/>
          <w:sz w:val="26"/>
          <w:szCs w:val="26"/>
          <w:lang w:eastAsia="ru-RU"/>
        </w:rPr>
        <w:t xml:space="preserve">Одновременно с отчетом направляем в адрес заместителя главы муниципального образования по городскому хозяйству, начальник управления муниципального хозяйства и градостроительства </w:t>
      </w:r>
      <w:r w:rsidR="00D379F2">
        <w:rPr>
          <w:rFonts w:ascii="Times New Roman" w:hAnsi="Times New Roman" w:cs="Times New Roman"/>
          <w:sz w:val="26"/>
          <w:szCs w:val="26"/>
          <w:lang w:eastAsia="ru-RU"/>
        </w:rPr>
        <w:t>представление</w:t>
      </w:r>
      <w:r w:rsidR="00261168">
        <w:rPr>
          <w:rFonts w:ascii="Times New Roman" w:hAnsi="Times New Roman" w:cs="Times New Roman"/>
          <w:sz w:val="26"/>
          <w:szCs w:val="26"/>
          <w:lang w:eastAsia="ru-RU"/>
        </w:rPr>
        <w:t xml:space="preserve"> от </w:t>
      </w:r>
      <w:r w:rsidR="00920525">
        <w:rPr>
          <w:rFonts w:ascii="Times New Roman" w:hAnsi="Times New Roman" w:cs="Times New Roman"/>
          <w:sz w:val="26"/>
          <w:szCs w:val="26"/>
          <w:lang w:eastAsia="ru-RU"/>
        </w:rPr>
        <w:t>04</w:t>
      </w:r>
      <w:r w:rsidR="00261168">
        <w:rPr>
          <w:rFonts w:ascii="Times New Roman" w:hAnsi="Times New Roman" w:cs="Times New Roman"/>
          <w:sz w:val="26"/>
          <w:szCs w:val="26"/>
          <w:lang w:eastAsia="ru-RU"/>
        </w:rPr>
        <w:t>.04</w:t>
      </w:r>
      <w:r w:rsidRPr="009C0069">
        <w:rPr>
          <w:rFonts w:ascii="Times New Roman" w:hAnsi="Times New Roman" w:cs="Times New Roman"/>
          <w:sz w:val="26"/>
          <w:szCs w:val="26"/>
          <w:lang w:eastAsia="ru-RU"/>
        </w:rPr>
        <w:t>.</w:t>
      </w:r>
      <w:r w:rsidR="00261168">
        <w:rPr>
          <w:rFonts w:ascii="Times New Roman" w:hAnsi="Times New Roman" w:cs="Times New Roman"/>
          <w:sz w:val="26"/>
          <w:szCs w:val="26"/>
          <w:lang w:eastAsia="ru-RU"/>
        </w:rPr>
        <w:t>2022 №</w:t>
      </w:r>
      <w:r w:rsidR="00314021">
        <w:rPr>
          <w:rFonts w:ascii="Times New Roman" w:hAnsi="Times New Roman" w:cs="Times New Roman"/>
          <w:sz w:val="26"/>
          <w:szCs w:val="26"/>
          <w:lang w:eastAsia="ru-RU"/>
        </w:rPr>
        <w:t>01-09/1</w:t>
      </w:r>
      <w:r w:rsidR="00013A2A">
        <w:rPr>
          <w:rFonts w:ascii="Times New Roman" w:hAnsi="Times New Roman" w:cs="Times New Roman"/>
          <w:sz w:val="26"/>
          <w:szCs w:val="26"/>
          <w:lang w:eastAsia="ru-RU"/>
        </w:rPr>
        <w:t>.</w:t>
      </w:r>
      <w:r w:rsidRPr="009C0069">
        <w:rPr>
          <w:rFonts w:ascii="Times New Roman" w:hAnsi="Times New Roman" w:cs="Times New Roman"/>
          <w:sz w:val="26"/>
          <w:szCs w:val="26"/>
          <w:lang w:eastAsia="ru-RU"/>
        </w:rPr>
        <w:t xml:space="preserve"> </w:t>
      </w:r>
    </w:p>
    <w:p w:rsidR="009C0069" w:rsidRPr="009C0069" w:rsidRDefault="009C0069" w:rsidP="009C0069">
      <w:pPr>
        <w:rPr>
          <w:rFonts w:ascii="Times New Roman" w:hAnsi="Times New Roman" w:cs="Times New Roman"/>
          <w:sz w:val="20"/>
          <w:szCs w:val="20"/>
        </w:rPr>
      </w:pPr>
    </w:p>
    <w:p w:rsidR="009C0069" w:rsidRDefault="009C0069" w:rsidP="00177180">
      <w:pPr>
        <w:rPr>
          <w:rFonts w:ascii="Times New Roman" w:hAnsi="Times New Roman" w:cs="Times New Roman"/>
          <w:sz w:val="20"/>
          <w:szCs w:val="20"/>
        </w:rPr>
      </w:pPr>
    </w:p>
    <w:p w:rsidR="00177180" w:rsidRDefault="00177180" w:rsidP="00177180">
      <w:pPr>
        <w:rPr>
          <w:rFonts w:ascii="Times New Roman" w:hAnsi="Times New Roman" w:cs="Times New Roman"/>
          <w:sz w:val="26"/>
          <w:szCs w:val="26"/>
        </w:rPr>
      </w:pPr>
      <w:r>
        <w:rPr>
          <w:rFonts w:ascii="Times New Roman" w:hAnsi="Times New Roman" w:cs="Times New Roman"/>
          <w:sz w:val="26"/>
          <w:szCs w:val="26"/>
        </w:rPr>
        <w:t xml:space="preserve"> Председатель контрольно-счетной палаты                                                </w:t>
      </w:r>
      <w:proofErr w:type="spellStart"/>
      <w:r>
        <w:rPr>
          <w:rFonts w:ascii="Times New Roman" w:hAnsi="Times New Roman" w:cs="Times New Roman"/>
          <w:sz w:val="26"/>
          <w:szCs w:val="26"/>
        </w:rPr>
        <w:t>О.А.Синцова</w:t>
      </w:r>
      <w:proofErr w:type="spellEnd"/>
    </w:p>
    <w:p w:rsidR="00351F34" w:rsidRDefault="00351F34" w:rsidP="00177180">
      <w:pPr>
        <w:rPr>
          <w:rFonts w:ascii="Times New Roman" w:hAnsi="Times New Roman" w:cs="Times New Roman"/>
          <w:sz w:val="26"/>
          <w:szCs w:val="26"/>
        </w:rPr>
      </w:pPr>
    </w:p>
    <w:p w:rsidR="00351F34" w:rsidRDefault="00351F34" w:rsidP="00177180">
      <w:pPr>
        <w:contextualSpacing/>
        <w:rPr>
          <w:rFonts w:ascii="Times New Roman" w:hAnsi="Times New Roman" w:cs="Times New Roman"/>
          <w:sz w:val="20"/>
          <w:szCs w:val="20"/>
        </w:rPr>
      </w:pPr>
      <w:proofErr w:type="spellStart"/>
      <w:r>
        <w:rPr>
          <w:rFonts w:ascii="Times New Roman" w:hAnsi="Times New Roman" w:cs="Times New Roman"/>
          <w:sz w:val="20"/>
          <w:szCs w:val="20"/>
        </w:rPr>
        <w:t>С.И.Протопопова</w:t>
      </w:r>
      <w:proofErr w:type="spellEnd"/>
    </w:p>
    <w:p w:rsidR="00351F34" w:rsidRPr="00351F34" w:rsidRDefault="00351F34" w:rsidP="00177180">
      <w:pPr>
        <w:contextualSpacing/>
        <w:rPr>
          <w:rFonts w:ascii="Times New Roman" w:hAnsi="Times New Roman" w:cs="Times New Roman"/>
          <w:sz w:val="20"/>
          <w:szCs w:val="20"/>
        </w:rPr>
      </w:pPr>
      <w:r>
        <w:rPr>
          <w:rFonts w:ascii="Times New Roman" w:hAnsi="Times New Roman" w:cs="Times New Roman"/>
          <w:sz w:val="20"/>
          <w:szCs w:val="20"/>
        </w:rPr>
        <w:t>8(81850)34236</w:t>
      </w:r>
    </w:p>
    <w:sectPr w:rsidR="00351F34" w:rsidRPr="00351F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49AF"/>
    <w:multiLevelType w:val="hybridMultilevel"/>
    <w:tmpl w:val="087617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185D8E"/>
    <w:multiLevelType w:val="hybridMultilevel"/>
    <w:tmpl w:val="9856C7A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291069"/>
    <w:multiLevelType w:val="hybridMultilevel"/>
    <w:tmpl w:val="7AFEC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3F"/>
    <w:rsid w:val="00001EC0"/>
    <w:rsid w:val="00013A2A"/>
    <w:rsid w:val="00014E92"/>
    <w:rsid w:val="00075ECE"/>
    <w:rsid w:val="0007744E"/>
    <w:rsid w:val="000C30AE"/>
    <w:rsid w:val="001250B8"/>
    <w:rsid w:val="001379AD"/>
    <w:rsid w:val="00177180"/>
    <w:rsid w:val="001A4DAA"/>
    <w:rsid w:val="001A55A9"/>
    <w:rsid w:val="00203DC8"/>
    <w:rsid w:val="00261168"/>
    <w:rsid w:val="002858A3"/>
    <w:rsid w:val="00314021"/>
    <w:rsid w:val="00337C34"/>
    <w:rsid w:val="00344A46"/>
    <w:rsid w:val="00351F34"/>
    <w:rsid w:val="003659E1"/>
    <w:rsid w:val="00365EFE"/>
    <w:rsid w:val="00381E63"/>
    <w:rsid w:val="0038736E"/>
    <w:rsid w:val="003F7B4E"/>
    <w:rsid w:val="00444E9D"/>
    <w:rsid w:val="00470DA8"/>
    <w:rsid w:val="00490354"/>
    <w:rsid w:val="004C0203"/>
    <w:rsid w:val="005350D6"/>
    <w:rsid w:val="00557B1C"/>
    <w:rsid w:val="0058553F"/>
    <w:rsid w:val="0062251D"/>
    <w:rsid w:val="00665DDC"/>
    <w:rsid w:val="006C2A5F"/>
    <w:rsid w:val="006F12A9"/>
    <w:rsid w:val="007F648E"/>
    <w:rsid w:val="00811513"/>
    <w:rsid w:val="00845017"/>
    <w:rsid w:val="0089659F"/>
    <w:rsid w:val="0091248F"/>
    <w:rsid w:val="00920525"/>
    <w:rsid w:val="009872DD"/>
    <w:rsid w:val="009C0069"/>
    <w:rsid w:val="009C0258"/>
    <w:rsid w:val="009E5FC4"/>
    <w:rsid w:val="00A15012"/>
    <w:rsid w:val="00A20FB4"/>
    <w:rsid w:val="00A538C9"/>
    <w:rsid w:val="00A83836"/>
    <w:rsid w:val="00A91060"/>
    <w:rsid w:val="00AB4403"/>
    <w:rsid w:val="00AE63CA"/>
    <w:rsid w:val="00AF36FC"/>
    <w:rsid w:val="00B47513"/>
    <w:rsid w:val="00BA0856"/>
    <w:rsid w:val="00BF277A"/>
    <w:rsid w:val="00C502DE"/>
    <w:rsid w:val="00C66A7B"/>
    <w:rsid w:val="00C855BE"/>
    <w:rsid w:val="00CD38B1"/>
    <w:rsid w:val="00D27029"/>
    <w:rsid w:val="00D379F2"/>
    <w:rsid w:val="00E0152C"/>
    <w:rsid w:val="00E0682B"/>
    <w:rsid w:val="00E22D70"/>
    <w:rsid w:val="00E759D8"/>
    <w:rsid w:val="00ED23A0"/>
    <w:rsid w:val="00EE5383"/>
    <w:rsid w:val="00EF5976"/>
    <w:rsid w:val="00F27645"/>
    <w:rsid w:val="00F40038"/>
    <w:rsid w:val="00F72DAF"/>
    <w:rsid w:val="00FC5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2B0DA-304A-4441-9FD0-C3F2C94B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0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22D70"/>
    <w:pPr>
      <w:widowControl w:val="0"/>
      <w:suppressAutoHyphens/>
      <w:autoSpaceDE w:val="0"/>
      <w:spacing w:after="0" w:line="240" w:lineRule="auto"/>
      <w:ind w:firstLine="720"/>
    </w:pPr>
    <w:rPr>
      <w:rFonts w:ascii="Arial" w:eastAsia="Times New Roman" w:hAnsi="Arial" w:cs="Times New Roman"/>
      <w:sz w:val="20"/>
      <w:szCs w:val="20"/>
      <w:lang w:eastAsia="ar-SA"/>
    </w:rPr>
  </w:style>
  <w:style w:type="paragraph" w:styleId="a3">
    <w:name w:val="List Paragraph"/>
    <w:basedOn w:val="a"/>
    <w:uiPriority w:val="34"/>
    <w:qFormat/>
    <w:rsid w:val="003659E1"/>
    <w:pPr>
      <w:ind w:left="720"/>
      <w:contextualSpacing/>
    </w:pPr>
  </w:style>
  <w:style w:type="table" w:styleId="a4">
    <w:name w:val="Table Grid"/>
    <w:basedOn w:val="a1"/>
    <w:uiPriority w:val="39"/>
    <w:rsid w:val="009C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3A2A"/>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013A2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98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andia.ru/text/category/denezhnie_sredstv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691</TotalTime>
  <Pages>5</Pages>
  <Words>2139</Words>
  <Characters>12197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46</cp:revision>
  <cp:lastPrinted>2022-04-04T11:28:00Z</cp:lastPrinted>
  <dcterms:created xsi:type="dcterms:W3CDTF">2022-03-14T06:19:00Z</dcterms:created>
  <dcterms:modified xsi:type="dcterms:W3CDTF">2022-04-04T11:28:00Z</dcterms:modified>
</cp:coreProperties>
</file>